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pixbkgnd" focussize="0,0" recolor="t" r:id="rId16"/>
    </v:background>
  </w:background>
  <w:body>
    <w:p>
      <w:pPr>
        <w:pStyle w:val="3"/>
        <w:ind w:firstLine="0" w:firstLineChars="0"/>
        <w:jc w:val="center"/>
        <w:rPr>
          <w:rFonts w:eastAsia="黑体"/>
          <w:sz w:val="52"/>
          <w:szCs w:val="52"/>
        </w:rPr>
      </w:pPr>
      <w:bookmarkStart w:id="0" w:name="_Toc95376055"/>
    </w:p>
    <w:p>
      <w:pPr>
        <w:pStyle w:val="3"/>
        <w:ind w:firstLine="0" w:firstLineChars="0"/>
        <w:jc w:val="center"/>
        <w:rPr>
          <w:rFonts w:eastAsia="黑体"/>
          <w:sz w:val="52"/>
          <w:szCs w:val="52"/>
        </w:rPr>
      </w:pPr>
    </w:p>
    <w:p>
      <w:pPr>
        <w:pStyle w:val="3"/>
        <w:ind w:firstLine="0" w:firstLineChars="0"/>
        <w:jc w:val="center"/>
        <w:rPr>
          <w:rFonts w:eastAsia="黑体"/>
          <w:sz w:val="52"/>
          <w:szCs w:val="52"/>
        </w:rPr>
      </w:pPr>
    </w:p>
    <w:p>
      <w:pPr>
        <w:pStyle w:val="3"/>
        <w:ind w:firstLine="576"/>
        <w:jc w:val="center"/>
      </w:pPr>
    </w:p>
    <w:p>
      <w:pPr>
        <w:pStyle w:val="29"/>
        <w:jc w:val="center"/>
        <w:rPr>
          <w:rFonts w:ascii="Times New Roman" w:hAnsi="Times New Roman" w:eastAsia="方正小标宋简体" w:cs="Times New Roman"/>
          <w:sz w:val="52"/>
          <w:szCs w:val="52"/>
        </w:rPr>
      </w:pPr>
      <w:bookmarkStart w:id="148" w:name="_GoBack"/>
      <w:r>
        <w:rPr>
          <w:rFonts w:ascii="Times New Roman" w:hAnsi="Times New Roman" w:eastAsia="方正小标宋简体" w:cs="Times New Roman"/>
          <w:sz w:val="52"/>
          <w:szCs w:val="52"/>
        </w:rPr>
        <w:t>勐海县“十四五”水安全保障规划</w:t>
      </w:r>
    </w:p>
    <w:bookmarkEnd w:id="148"/>
    <w:p>
      <w:pPr>
        <w:pStyle w:val="3"/>
        <w:ind w:firstLine="0" w:firstLineChars="0"/>
        <w:jc w:val="center"/>
        <w:rPr>
          <w:rFonts w:eastAsia="楷体_GB2312"/>
          <w:sz w:val="44"/>
          <w:szCs w:val="44"/>
        </w:rPr>
      </w:pPr>
    </w:p>
    <w:p>
      <w:pPr>
        <w:pStyle w:val="3"/>
        <w:ind w:firstLine="576"/>
      </w:pPr>
    </w:p>
    <w:p>
      <w:pPr>
        <w:pStyle w:val="3"/>
        <w:ind w:firstLine="576"/>
      </w:pPr>
    </w:p>
    <w:p>
      <w:pPr>
        <w:pStyle w:val="3"/>
        <w:ind w:firstLine="576"/>
      </w:pPr>
    </w:p>
    <w:p>
      <w:pPr>
        <w:pStyle w:val="3"/>
        <w:ind w:firstLine="576"/>
      </w:pPr>
    </w:p>
    <w:p>
      <w:pPr>
        <w:pStyle w:val="3"/>
        <w:ind w:firstLine="576"/>
      </w:pPr>
    </w:p>
    <w:p>
      <w:pPr>
        <w:pStyle w:val="3"/>
        <w:ind w:firstLine="576"/>
      </w:pPr>
    </w:p>
    <w:p>
      <w:pPr>
        <w:pStyle w:val="3"/>
        <w:ind w:firstLine="576"/>
      </w:pPr>
    </w:p>
    <w:p>
      <w:pPr>
        <w:pStyle w:val="3"/>
        <w:ind w:firstLine="576"/>
      </w:pPr>
    </w:p>
    <w:p>
      <w:pPr>
        <w:pStyle w:val="3"/>
        <w:ind w:firstLine="576"/>
      </w:pPr>
    </w:p>
    <w:p>
      <w:pPr>
        <w:pStyle w:val="3"/>
        <w:ind w:firstLine="576"/>
      </w:pPr>
    </w:p>
    <w:p>
      <w:pPr>
        <w:pStyle w:val="3"/>
        <w:ind w:firstLine="576"/>
      </w:pPr>
    </w:p>
    <w:p>
      <w:pPr>
        <w:pStyle w:val="3"/>
        <w:ind w:firstLine="576"/>
      </w:pPr>
    </w:p>
    <w:p>
      <w:pPr>
        <w:pStyle w:val="3"/>
        <w:ind w:firstLine="576"/>
      </w:pPr>
    </w:p>
    <w:p>
      <w:pPr>
        <w:pStyle w:val="3"/>
        <w:ind w:firstLine="576"/>
      </w:pPr>
    </w:p>
    <w:p>
      <w:pPr>
        <w:adjustRightInd w:val="0"/>
        <w:snapToGrid w:val="0"/>
        <w:spacing w:line="640" w:lineRule="exact"/>
        <w:jc w:val="center"/>
        <w:rPr>
          <w:rFonts w:ascii="方正仿宋_GBK" w:hAnsi="方正仿宋_GBK" w:eastAsia="方正仿宋_GBK" w:cs="方正仿宋_GBK"/>
          <w:spacing w:val="20"/>
          <w:sz w:val="36"/>
          <w:szCs w:val="36"/>
        </w:rPr>
      </w:pPr>
      <w:r>
        <w:rPr>
          <w:rFonts w:hint="eastAsia" w:ascii="方正仿宋_GBK" w:hAnsi="方正仿宋_GBK" w:eastAsia="方正仿宋_GBK" w:cs="方正仿宋_GBK"/>
          <w:spacing w:val="20"/>
          <w:sz w:val="36"/>
          <w:szCs w:val="36"/>
        </w:rPr>
        <w:t>组织单位：勐海县水务局</w:t>
      </w:r>
    </w:p>
    <w:p>
      <w:pPr>
        <w:adjustRightInd w:val="0"/>
        <w:snapToGrid w:val="0"/>
        <w:spacing w:line="640" w:lineRule="exact"/>
        <w:jc w:val="center"/>
        <w:rPr>
          <w:rFonts w:ascii="方正仿宋_GBK" w:hAnsi="方正仿宋_GBK" w:eastAsia="方正仿宋_GBK" w:cs="方正仿宋_GBK"/>
          <w:spacing w:val="20"/>
          <w:sz w:val="36"/>
          <w:szCs w:val="36"/>
        </w:rPr>
      </w:pPr>
      <w:r>
        <w:rPr>
          <w:rFonts w:hint="eastAsia" w:ascii="方正仿宋_GBK" w:hAnsi="方正仿宋_GBK" w:eastAsia="方正仿宋_GBK" w:cs="方正仿宋_GBK"/>
          <w:spacing w:val="20"/>
          <w:sz w:val="36"/>
          <w:szCs w:val="36"/>
        </w:rPr>
        <w:t>编制单位：云南省水利水电勘测设计研究院</w:t>
      </w:r>
    </w:p>
    <w:p>
      <w:pPr>
        <w:pStyle w:val="3"/>
        <w:ind w:firstLine="800"/>
        <w:jc w:val="center"/>
        <w:rPr>
          <w:rFonts w:eastAsia="方正小标宋简体"/>
          <w:spacing w:val="20"/>
          <w:sz w:val="36"/>
          <w:szCs w:val="36"/>
        </w:rPr>
      </w:pPr>
      <w:r>
        <w:rPr>
          <w:rFonts w:eastAsia="方正小标宋简体"/>
          <w:spacing w:val="20"/>
          <w:sz w:val="36"/>
          <w:szCs w:val="36"/>
        </w:rPr>
        <w:t>202</w:t>
      </w:r>
      <w:r>
        <w:rPr>
          <w:rFonts w:hint="eastAsia" w:eastAsia="方正小标宋简体"/>
          <w:spacing w:val="20"/>
          <w:sz w:val="36"/>
          <w:szCs w:val="36"/>
        </w:rPr>
        <w:t>1</w:t>
      </w:r>
      <w:r>
        <w:rPr>
          <w:rFonts w:eastAsia="方正小标宋简体"/>
          <w:spacing w:val="20"/>
          <w:sz w:val="36"/>
          <w:szCs w:val="36"/>
        </w:rPr>
        <w:t>年</w:t>
      </w:r>
      <w:r>
        <w:rPr>
          <w:rFonts w:hint="eastAsia" w:eastAsia="方正小标宋简体"/>
          <w:spacing w:val="20"/>
          <w:sz w:val="36"/>
          <w:szCs w:val="36"/>
        </w:rPr>
        <w:t>01</w:t>
      </w:r>
      <w:r>
        <w:rPr>
          <w:rFonts w:eastAsia="方正小标宋简体"/>
          <w:spacing w:val="20"/>
          <w:sz w:val="36"/>
          <w:szCs w:val="36"/>
        </w:rPr>
        <w:t>月</w:t>
      </w:r>
    </w:p>
    <w:p>
      <w:pPr>
        <w:pStyle w:val="3"/>
        <w:ind w:firstLine="576"/>
      </w:pPr>
      <w:r>
        <w:br w:type="page"/>
      </w:r>
    </w:p>
    <w:p>
      <w:pPr>
        <w:pStyle w:val="3"/>
        <w:ind w:firstLine="576"/>
        <w:jc w:val="center"/>
      </w:pPr>
    </w:p>
    <w:p>
      <w:pPr>
        <w:pStyle w:val="3"/>
        <w:ind w:firstLine="576"/>
      </w:pPr>
    </w:p>
    <w:p>
      <w:pPr>
        <w:pStyle w:val="3"/>
        <w:ind w:firstLine="0" w:firstLineChars="0"/>
        <w:jc w:val="center"/>
        <w:rPr>
          <w:rFonts w:eastAsia="黑体"/>
          <w:sz w:val="32"/>
          <w:szCs w:val="32"/>
        </w:rPr>
      </w:pPr>
      <w:r>
        <w:rPr>
          <w:rFonts w:eastAsia="黑体"/>
          <w:sz w:val="32"/>
          <w:szCs w:val="32"/>
        </w:rPr>
        <w:t xml:space="preserve"> </w:t>
      </w:r>
    </w:p>
    <w:p>
      <w:pPr>
        <w:widowControl/>
        <w:jc w:val="left"/>
        <w:rPr>
          <w:rFonts w:ascii="Times New Roman" w:hAnsi="Times New Roman" w:eastAsia="仿宋_GB2312"/>
          <w:color w:val="auto"/>
          <w:spacing w:val="4"/>
          <w:sz w:val="28"/>
          <w:szCs w:val="28"/>
        </w:rPr>
      </w:pPr>
      <w:r>
        <w:br w:type="page"/>
      </w:r>
    </w:p>
    <w:p>
      <w:pPr>
        <w:pStyle w:val="3"/>
        <w:ind w:firstLine="576"/>
      </w:pPr>
    </w:p>
    <w:p>
      <w:pPr>
        <w:pStyle w:val="3"/>
        <w:ind w:firstLine="576"/>
      </w:pPr>
    </w:p>
    <w:p>
      <w:pPr>
        <w:spacing w:line="480" w:lineRule="auto"/>
        <w:ind w:firstLine="1667"/>
        <w:rPr>
          <w:rFonts w:ascii="Times New Roman" w:hAnsi="Times New Roman" w:eastAsia="黑体"/>
          <w:sz w:val="28"/>
          <w:szCs w:val="28"/>
        </w:rPr>
      </w:pPr>
    </w:p>
    <w:p>
      <w:pPr>
        <w:spacing w:line="480" w:lineRule="auto"/>
        <w:ind w:firstLine="1667"/>
        <w:rPr>
          <w:rFonts w:ascii="Times New Roman" w:hAnsi="Times New Roman" w:eastAsia="黑体"/>
          <w:sz w:val="28"/>
          <w:szCs w:val="28"/>
        </w:rPr>
      </w:pPr>
    </w:p>
    <w:p>
      <w:pPr>
        <w:spacing w:line="480" w:lineRule="auto"/>
        <w:ind w:firstLine="1667"/>
        <w:rPr>
          <w:rFonts w:ascii="Times New Roman" w:hAnsi="Times New Roman" w:eastAsia="黑体"/>
          <w:sz w:val="28"/>
          <w:szCs w:val="28"/>
        </w:rPr>
      </w:pPr>
      <w:r>
        <w:rPr>
          <w:rFonts w:ascii="Times New Roman" w:hAnsi="Times New Roman" w:eastAsia="黑体"/>
          <w:sz w:val="28"/>
          <w:szCs w:val="28"/>
        </w:rPr>
        <w:t>核    定： 陈</w:t>
      </w:r>
      <w:r>
        <w:rPr>
          <w:rFonts w:hint="eastAsia" w:ascii="Times New Roman" w:hAnsi="Times New Roman" w:eastAsia="黑体"/>
          <w:sz w:val="28"/>
          <w:szCs w:val="28"/>
        </w:rPr>
        <w:t xml:space="preserve">  </w:t>
      </w:r>
      <w:r>
        <w:rPr>
          <w:rFonts w:ascii="Times New Roman" w:hAnsi="Times New Roman" w:eastAsia="黑体"/>
          <w:sz w:val="28"/>
          <w:szCs w:val="28"/>
        </w:rPr>
        <w:t>欣</w:t>
      </w:r>
    </w:p>
    <w:p>
      <w:pPr>
        <w:spacing w:line="480" w:lineRule="auto"/>
        <w:ind w:firstLine="1667"/>
        <w:rPr>
          <w:rFonts w:ascii="Times New Roman" w:hAnsi="Times New Roman" w:eastAsia="黑体"/>
          <w:sz w:val="28"/>
          <w:szCs w:val="28"/>
        </w:rPr>
      </w:pPr>
    </w:p>
    <w:p>
      <w:pPr>
        <w:spacing w:line="480" w:lineRule="auto"/>
        <w:ind w:firstLine="1667"/>
        <w:rPr>
          <w:rFonts w:ascii="Times New Roman" w:hAnsi="Times New Roman" w:eastAsia="黑体"/>
          <w:sz w:val="28"/>
          <w:szCs w:val="28"/>
        </w:rPr>
      </w:pPr>
      <w:r>
        <w:rPr>
          <w:rFonts w:ascii="Times New Roman" w:hAnsi="Times New Roman" w:eastAsia="黑体"/>
          <w:sz w:val="28"/>
          <w:szCs w:val="28"/>
        </w:rPr>
        <w:t>审    查： 蔡</w:t>
      </w:r>
      <w:r>
        <w:rPr>
          <w:rFonts w:hint="eastAsia" w:ascii="Times New Roman" w:hAnsi="Times New Roman" w:eastAsia="黑体"/>
          <w:sz w:val="28"/>
          <w:szCs w:val="28"/>
        </w:rPr>
        <w:t xml:space="preserve">  </w:t>
      </w:r>
      <w:r>
        <w:rPr>
          <w:rFonts w:ascii="Times New Roman" w:hAnsi="Times New Roman" w:eastAsia="黑体"/>
          <w:sz w:val="28"/>
          <w:szCs w:val="28"/>
        </w:rPr>
        <w:t>昕</w:t>
      </w:r>
    </w:p>
    <w:p>
      <w:pPr>
        <w:spacing w:line="480" w:lineRule="auto"/>
        <w:ind w:firstLine="1667"/>
        <w:rPr>
          <w:rFonts w:ascii="Times New Roman" w:hAnsi="Times New Roman" w:eastAsia="黑体"/>
          <w:sz w:val="28"/>
          <w:szCs w:val="28"/>
        </w:rPr>
      </w:pPr>
    </w:p>
    <w:p>
      <w:pPr>
        <w:spacing w:line="480" w:lineRule="auto"/>
        <w:ind w:firstLine="1667"/>
        <w:rPr>
          <w:rFonts w:ascii="Times New Roman" w:hAnsi="Times New Roman" w:eastAsia="黑体"/>
          <w:sz w:val="28"/>
          <w:szCs w:val="28"/>
        </w:rPr>
      </w:pPr>
      <w:r>
        <w:rPr>
          <w:rFonts w:ascii="Times New Roman" w:hAnsi="Times New Roman" w:eastAsia="黑体"/>
          <w:sz w:val="28"/>
          <w:szCs w:val="28"/>
        </w:rPr>
        <w:t>校    核： 陈少妹</w:t>
      </w:r>
    </w:p>
    <w:p>
      <w:pPr>
        <w:spacing w:line="480" w:lineRule="auto"/>
        <w:ind w:firstLine="1667"/>
        <w:rPr>
          <w:rFonts w:ascii="Times New Roman" w:hAnsi="Times New Roman" w:eastAsia="黑体"/>
          <w:sz w:val="28"/>
          <w:szCs w:val="28"/>
        </w:rPr>
      </w:pPr>
    </w:p>
    <w:p>
      <w:pPr>
        <w:spacing w:line="480" w:lineRule="auto"/>
        <w:ind w:firstLine="1667"/>
        <w:rPr>
          <w:rFonts w:ascii="Times New Roman" w:hAnsi="Times New Roman" w:eastAsia="黑体"/>
          <w:sz w:val="28"/>
          <w:szCs w:val="28"/>
        </w:rPr>
      </w:pPr>
      <w:r>
        <w:rPr>
          <w:rFonts w:ascii="Times New Roman" w:hAnsi="Times New Roman" w:eastAsia="黑体"/>
          <w:sz w:val="28"/>
          <w:szCs w:val="28"/>
        </w:rPr>
        <w:t>编    写： 艾志强</w:t>
      </w:r>
    </w:p>
    <w:p>
      <w:pPr>
        <w:spacing w:line="480" w:lineRule="auto"/>
        <w:ind w:firstLine="1667"/>
        <w:rPr>
          <w:rFonts w:ascii="Times New Roman" w:hAnsi="Times New Roman" w:eastAsia="黑体"/>
          <w:sz w:val="28"/>
          <w:szCs w:val="28"/>
        </w:rPr>
      </w:pPr>
    </w:p>
    <w:p>
      <w:pPr>
        <w:spacing w:line="480" w:lineRule="auto"/>
        <w:ind w:firstLine="1667"/>
        <w:rPr>
          <w:rFonts w:ascii="Times New Roman" w:hAnsi="Times New Roman" w:eastAsia="黑体"/>
          <w:sz w:val="28"/>
          <w:szCs w:val="28"/>
        </w:rPr>
      </w:pPr>
      <w:r>
        <w:rPr>
          <w:rFonts w:hint="eastAsia" w:ascii="Times New Roman" w:hAnsi="Times New Roman" w:eastAsia="黑体"/>
          <w:sz w:val="28"/>
          <w:szCs w:val="28"/>
        </w:rPr>
        <w:t>参与工作人员：</w:t>
      </w:r>
      <w:r>
        <w:rPr>
          <w:rFonts w:ascii="Times New Roman" w:hAnsi="Times New Roman" w:eastAsia="黑体"/>
          <w:sz w:val="28"/>
          <w:szCs w:val="28"/>
        </w:rPr>
        <w:t xml:space="preserve"> </w:t>
      </w:r>
      <w:r>
        <w:rPr>
          <w:rFonts w:hint="eastAsia" w:ascii="Times New Roman" w:hAnsi="Times New Roman" w:eastAsia="黑体"/>
          <w:sz w:val="28"/>
          <w:szCs w:val="28"/>
        </w:rPr>
        <w:t>蔡兴仁  吴二  刘天喜  刘晓芳  张  宇</w:t>
      </w:r>
    </w:p>
    <w:p>
      <w:pPr>
        <w:spacing w:line="480" w:lineRule="auto"/>
        <w:ind w:firstLine="1667"/>
        <w:rPr>
          <w:rFonts w:ascii="Times New Roman" w:hAnsi="Times New Roman" w:eastAsia="黑体"/>
          <w:sz w:val="28"/>
          <w:szCs w:val="28"/>
        </w:rPr>
      </w:pPr>
      <w:r>
        <w:rPr>
          <w:rFonts w:hint="eastAsia" w:ascii="Times New Roman" w:hAnsi="Times New Roman" w:eastAsia="黑体"/>
          <w:sz w:val="28"/>
          <w:szCs w:val="28"/>
        </w:rPr>
        <w:t>郭  宾     罗沛尧     杨  勇     蔡永洪     蒋厚龙</w:t>
      </w:r>
    </w:p>
    <w:p>
      <w:pPr>
        <w:spacing w:line="480" w:lineRule="auto"/>
        <w:ind w:firstLine="1667"/>
        <w:rPr>
          <w:rFonts w:ascii="Times New Roman" w:hAnsi="Times New Roman" w:eastAsia="黑体"/>
          <w:sz w:val="28"/>
          <w:szCs w:val="28"/>
        </w:rPr>
      </w:pPr>
      <w:r>
        <w:rPr>
          <w:rFonts w:hint="eastAsia" w:ascii="Times New Roman" w:hAnsi="Times New Roman" w:eastAsia="黑体"/>
          <w:sz w:val="28"/>
          <w:szCs w:val="28"/>
        </w:rPr>
        <w:t>王  宇     赵  雁     何学亮     赵白飞     樊林娜</w:t>
      </w:r>
    </w:p>
    <w:p>
      <w:pPr>
        <w:spacing w:line="480" w:lineRule="auto"/>
        <w:ind w:firstLine="1667"/>
        <w:rPr>
          <w:rFonts w:ascii="Times New Roman" w:hAnsi="Times New Roman" w:eastAsia="黑体"/>
          <w:sz w:val="28"/>
          <w:szCs w:val="28"/>
        </w:rPr>
      </w:pPr>
      <w:r>
        <w:rPr>
          <w:rFonts w:hint="eastAsia" w:ascii="Times New Roman" w:hAnsi="Times New Roman" w:eastAsia="黑体"/>
          <w:sz w:val="28"/>
          <w:szCs w:val="28"/>
        </w:rPr>
        <w:t>陈  华     钱胜梅     杨家显     杨学明     杨贺星</w:t>
      </w:r>
    </w:p>
    <w:p>
      <w:pPr>
        <w:spacing w:line="480" w:lineRule="auto"/>
        <w:ind w:firstLine="1667"/>
        <w:rPr>
          <w:rFonts w:ascii="Times New Roman" w:hAnsi="Times New Roman" w:eastAsia="黑体"/>
          <w:sz w:val="28"/>
          <w:szCs w:val="28"/>
        </w:rPr>
      </w:pPr>
      <w:r>
        <w:rPr>
          <w:rFonts w:hint="eastAsia" w:ascii="Times New Roman" w:hAnsi="Times New Roman" w:eastAsia="黑体"/>
          <w:sz w:val="28"/>
          <w:szCs w:val="28"/>
        </w:rPr>
        <w:t>吴兴茂     杨  峰     刘永堂     普龙剑     陈长林</w:t>
      </w:r>
    </w:p>
    <w:p>
      <w:pPr>
        <w:spacing w:line="480" w:lineRule="auto"/>
        <w:ind w:firstLine="1667"/>
        <w:rPr>
          <w:rFonts w:ascii="Times New Roman" w:hAnsi="Times New Roman" w:eastAsia="黑体"/>
          <w:sz w:val="28"/>
          <w:szCs w:val="28"/>
        </w:rPr>
      </w:pPr>
      <w:r>
        <w:rPr>
          <w:rFonts w:hint="eastAsia" w:ascii="Times New Roman" w:hAnsi="Times New Roman" w:eastAsia="黑体"/>
          <w:sz w:val="28"/>
          <w:szCs w:val="28"/>
        </w:rPr>
        <w:t>王国兴     王琼慧     陈佳南     李  宏     付  雄</w:t>
      </w:r>
    </w:p>
    <w:p>
      <w:pPr>
        <w:widowControl/>
        <w:jc w:val="left"/>
        <w:rPr>
          <w:rFonts w:ascii="Times New Roman" w:hAnsi="Times New Roman" w:eastAsia="黑体"/>
          <w:sz w:val="28"/>
          <w:szCs w:val="28"/>
        </w:rPr>
      </w:pPr>
      <w:r>
        <w:rPr>
          <w:rFonts w:ascii="Times New Roman" w:hAnsi="Times New Roman" w:eastAsia="黑体"/>
          <w:sz w:val="28"/>
          <w:szCs w:val="28"/>
        </w:rPr>
        <w:br w:type="page"/>
      </w:r>
    </w:p>
    <w:p>
      <w:pPr>
        <w:spacing w:line="480" w:lineRule="auto"/>
        <w:ind w:firstLine="1680" w:firstLineChars="600"/>
        <w:rPr>
          <w:rFonts w:ascii="Times New Roman" w:hAnsi="Times New Roman" w:eastAsia="黑体"/>
          <w:sz w:val="28"/>
          <w:szCs w:val="28"/>
        </w:rPr>
      </w:pPr>
    </w:p>
    <w:p>
      <w:pPr>
        <w:spacing w:line="480" w:lineRule="auto"/>
        <w:ind w:firstLine="1667"/>
        <w:rPr>
          <w:rFonts w:ascii="Times New Roman" w:hAnsi="Times New Roman" w:eastAsia="黑体"/>
          <w:sz w:val="28"/>
          <w:szCs w:val="28"/>
        </w:rPr>
      </w:pPr>
    </w:p>
    <w:p>
      <w:pPr>
        <w:pStyle w:val="3"/>
        <w:ind w:firstLine="576"/>
      </w:pPr>
      <w:r>
        <w:t xml:space="preserve">   </w:t>
      </w:r>
    </w:p>
    <w:p>
      <w:pPr>
        <w:pStyle w:val="3"/>
        <w:ind w:firstLine="576"/>
      </w:pPr>
      <w:r>
        <w:t xml:space="preserve"> </w:t>
      </w:r>
    </w:p>
    <w:p>
      <w:pPr>
        <w:pStyle w:val="3"/>
        <w:ind w:firstLine="576"/>
        <w:sectPr>
          <w:footerReference r:id="rId5" w:type="default"/>
          <w:footerReference r:id="rId6" w:type="even"/>
          <w:pgSz w:w="11906" w:h="16838"/>
          <w:pgMar w:top="1418" w:right="1418" w:bottom="1418" w:left="1418" w:header="851" w:footer="992" w:gutter="0"/>
          <w:cols w:space="425" w:num="1"/>
          <w:docGrid w:type="linesAndChars" w:linePitch="312" w:charSpace="0"/>
        </w:sectPr>
      </w:pPr>
    </w:p>
    <w:p>
      <w:pPr>
        <w:pStyle w:val="13"/>
        <w:spacing w:before="400" w:after="300"/>
        <w:rPr>
          <w:rFonts w:cs="Times New Roman"/>
          <w:sz w:val="36"/>
          <w:szCs w:val="36"/>
        </w:rPr>
      </w:pPr>
      <w:r>
        <w:rPr>
          <w:rFonts w:cs="Times New Roman"/>
          <w:sz w:val="36"/>
          <w:szCs w:val="36"/>
        </w:rPr>
        <w:t>目    录</w:t>
      </w:r>
      <w:bookmarkEnd w:id="0"/>
    </w:p>
    <w:p>
      <w:pPr>
        <w:pStyle w:val="24"/>
        <w:tabs>
          <w:tab w:val="right" w:leader="dot" w:pos="9060"/>
        </w:tabs>
        <w:rPr>
          <w:rFonts w:asciiTheme="minorHAnsi" w:hAnsiTheme="minorHAnsi" w:eastAsiaTheme="minorEastAsia" w:cstheme="minorBidi"/>
          <w:bCs w:val="0"/>
          <w:caps w:val="0"/>
          <w:color w:val="auto"/>
          <w:sz w:val="21"/>
        </w:rPr>
      </w:pPr>
      <w:r>
        <w:fldChar w:fldCharType="begin"/>
      </w:r>
      <w:r>
        <w:instrText xml:space="preserve"> TOC \o "1-2" \h \z \u </w:instrText>
      </w:r>
      <w:r>
        <w:fldChar w:fldCharType="separate"/>
      </w:r>
      <w:r>
        <w:fldChar w:fldCharType="begin"/>
      </w:r>
      <w:r>
        <w:instrText xml:space="preserve"> HYPERLINK \l "_Toc62461298" </w:instrText>
      </w:r>
      <w:r>
        <w:fldChar w:fldCharType="separate"/>
      </w:r>
      <w:r>
        <w:rPr>
          <w:rStyle w:val="38"/>
          <w:rFonts w:hint="eastAsia" w:ascii="Times New Roman" w:hAnsi="Times New Roman"/>
          <w:kern w:val="44"/>
        </w:rPr>
        <w:t>前</w:t>
      </w:r>
      <w:r>
        <w:rPr>
          <w:rStyle w:val="38"/>
          <w:rFonts w:ascii="Times New Roman" w:hAnsi="Times New Roman"/>
          <w:kern w:val="44"/>
        </w:rPr>
        <w:t xml:space="preserve"> </w:t>
      </w:r>
      <w:r>
        <w:rPr>
          <w:rStyle w:val="38"/>
          <w:rFonts w:hint="eastAsia" w:ascii="Times New Roman" w:hAnsi="Times New Roman"/>
          <w:kern w:val="44"/>
        </w:rPr>
        <w:t>言</w:t>
      </w:r>
      <w:r>
        <w:tab/>
      </w:r>
      <w:r>
        <w:fldChar w:fldCharType="begin"/>
      </w:r>
      <w:r>
        <w:instrText xml:space="preserve"> PAGEREF _Toc62461298 \h </w:instrText>
      </w:r>
      <w:r>
        <w:fldChar w:fldCharType="separate"/>
      </w:r>
      <w:r>
        <w:t>1</w:t>
      </w:r>
      <w:r>
        <w:fldChar w:fldCharType="end"/>
      </w:r>
      <w:r>
        <w:fldChar w:fldCharType="end"/>
      </w:r>
    </w:p>
    <w:p>
      <w:pPr>
        <w:pStyle w:val="24"/>
        <w:tabs>
          <w:tab w:val="left" w:pos="436"/>
          <w:tab w:val="right" w:leader="dot" w:pos="9060"/>
        </w:tabs>
        <w:rPr>
          <w:rFonts w:asciiTheme="minorHAnsi" w:hAnsiTheme="minorHAnsi" w:eastAsiaTheme="minorEastAsia" w:cstheme="minorBidi"/>
          <w:bCs w:val="0"/>
          <w:caps w:val="0"/>
          <w:color w:val="auto"/>
          <w:sz w:val="21"/>
        </w:rPr>
      </w:pPr>
      <w:r>
        <w:fldChar w:fldCharType="begin"/>
      </w:r>
      <w:r>
        <w:instrText xml:space="preserve"> HYPERLINK \l "_Toc62461299" </w:instrText>
      </w:r>
      <w:r>
        <w:fldChar w:fldCharType="separate"/>
      </w:r>
      <w:r>
        <w:rPr>
          <w:rStyle w:val="38"/>
        </w:rPr>
        <w:t>1</w:t>
      </w:r>
      <w:r>
        <w:rPr>
          <w:rFonts w:asciiTheme="minorHAnsi" w:hAnsiTheme="minorHAnsi" w:eastAsiaTheme="minorEastAsia" w:cstheme="minorBidi"/>
          <w:bCs w:val="0"/>
          <w:caps w:val="0"/>
          <w:color w:val="auto"/>
          <w:sz w:val="21"/>
        </w:rPr>
        <w:tab/>
      </w:r>
      <w:r>
        <w:rPr>
          <w:rStyle w:val="38"/>
          <w:rFonts w:hint="eastAsia" w:ascii="Times New Roman" w:hAnsi="Times New Roman"/>
        </w:rPr>
        <w:t>规划背景</w:t>
      </w:r>
      <w:r>
        <w:tab/>
      </w:r>
      <w:r>
        <w:fldChar w:fldCharType="begin"/>
      </w:r>
      <w:r>
        <w:instrText xml:space="preserve"> PAGEREF _Toc62461299 \h </w:instrText>
      </w:r>
      <w:r>
        <w:fldChar w:fldCharType="separate"/>
      </w:r>
      <w:r>
        <w:t>3</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"_Toc62461300" </w:instrText>
      </w:r>
      <w:r>
        <w:fldChar w:fldCharType="separate"/>
      </w:r>
      <w:r>
        <w:rPr>
          <w:rStyle w:val="38"/>
        </w:rPr>
        <w:t>1.1</w:t>
      </w:r>
      <w:r>
        <w:rPr>
          <w:rStyle w:val="38"/>
          <w:rFonts w:hint="eastAsia" w:ascii="Times New Roman" w:hAnsi="Times New Roman"/>
        </w:rPr>
        <w:t xml:space="preserve"> 县情概况</w:t>
      </w:r>
      <w:r>
        <w:tab/>
      </w:r>
      <w:r>
        <w:fldChar w:fldCharType="begin"/>
      </w:r>
      <w:r>
        <w:instrText xml:space="preserve"> PAGEREF _Toc62461300 \h </w:instrText>
      </w:r>
      <w:r>
        <w:fldChar w:fldCharType="separate"/>
      </w:r>
      <w:r>
        <w:t>3</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"_Toc62461301" </w:instrText>
      </w:r>
      <w:r>
        <w:fldChar w:fldCharType="separate"/>
      </w:r>
      <w:r>
        <w:rPr>
          <w:rStyle w:val="38"/>
        </w:rPr>
        <w:t>1.2</w:t>
      </w:r>
      <w:r>
        <w:rPr>
          <w:rStyle w:val="38"/>
          <w:rFonts w:hint="eastAsia" w:ascii="Times New Roman" w:hAnsi="Times New Roman"/>
        </w:rPr>
        <w:t xml:space="preserve"> 水情概况</w:t>
      </w:r>
      <w:r>
        <w:tab/>
      </w:r>
      <w:r>
        <w:fldChar w:fldCharType="begin"/>
      </w:r>
      <w:r>
        <w:instrText xml:space="preserve"> PAGEREF _Toc62461301 \h </w:instrText>
      </w:r>
      <w:r>
        <w:fldChar w:fldCharType="separate"/>
      </w:r>
      <w:r>
        <w:t>6</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"_Toc62461302" </w:instrText>
      </w:r>
      <w:r>
        <w:fldChar w:fldCharType="separate"/>
      </w:r>
      <w:r>
        <w:rPr>
          <w:rStyle w:val="38"/>
        </w:rPr>
        <w:t>1.3</w:t>
      </w:r>
      <w:r>
        <w:rPr>
          <w:rStyle w:val="38"/>
          <w:rFonts w:ascii="Times New Roman" w:hAnsi="Times New Roman"/>
        </w:rPr>
        <w:t xml:space="preserve"> “</w:t>
      </w:r>
      <w:r>
        <w:rPr>
          <w:rStyle w:val="38"/>
          <w:rFonts w:hint="eastAsia" w:ascii="Times New Roman" w:hAnsi="Times New Roman"/>
        </w:rPr>
        <w:t>十三五</w:t>
      </w:r>
      <w:r>
        <w:rPr>
          <w:rStyle w:val="38"/>
          <w:rFonts w:ascii="Times New Roman" w:hAnsi="Times New Roman"/>
        </w:rPr>
        <w:t>”</w:t>
      </w:r>
      <w:r>
        <w:rPr>
          <w:rStyle w:val="38"/>
          <w:rFonts w:hint="eastAsia" w:ascii="Times New Roman" w:hAnsi="Times New Roman"/>
        </w:rPr>
        <w:t>规划实施情况及成效</w:t>
      </w:r>
      <w:r>
        <w:tab/>
      </w:r>
      <w:r>
        <w:fldChar w:fldCharType="begin"/>
      </w:r>
      <w:r>
        <w:instrText xml:space="preserve"> PAGEREF _Toc62461302 \h </w:instrText>
      </w:r>
      <w:r>
        <w:fldChar w:fldCharType="separate"/>
      </w:r>
      <w:r>
        <w:t>14</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"_Toc62461303" </w:instrText>
      </w:r>
      <w:r>
        <w:fldChar w:fldCharType="separate"/>
      </w:r>
      <w:r>
        <w:rPr>
          <w:rStyle w:val="38"/>
        </w:rPr>
        <w:t>1.4</w:t>
      </w:r>
      <w:r>
        <w:rPr>
          <w:rStyle w:val="38"/>
          <w:rFonts w:hint="eastAsia" w:ascii="Times New Roman" w:hAnsi="Times New Roman"/>
        </w:rPr>
        <w:t xml:space="preserve"> 面临形势</w:t>
      </w:r>
      <w:r>
        <w:tab/>
      </w:r>
      <w:r>
        <w:fldChar w:fldCharType="begin"/>
      </w:r>
      <w:r>
        <w:instrText xml:space="preserve"> PAGEREF _Toc62461303 \h </w:instrText>
      </w:r>
      <w:r>
        <w:fldChar w:fldCharType="separate"/>
      </w:r>
      <w:r>
        <w:t>17</w:t>
      </w:r>
      <w:r>
        <w:fldChar w:fldCharType="end"/>
      </w:r>
      <w:r>
        <w:fldChar w:fldCharType="end"/>
      </w:r>
    </w:p>
    <w:p>
      <w:pPr>
        <w:pStyle w:val="24"/>
        <w:tabs>
          <w:tab w:val="left" w:pos="436"/>
          <w:tab w:val="right" w:leader="dot" w:pos="9060"/>
        </w:tabs>
        <w:rPr>
          <w:rFonts w:asciiTheme="minorHAnsi" w:hAnsiTheme="minorHAnsi" w:eastAsiaTheme="minorEastAsia" w:cstheme="minorBidi"/>
          <w:bCs w:val="0"/>
          <w:caps w:val="0"/>
          <w:color w:val="auto"/>
          <w:sz w:val="21"/>
        </w:rPr>
      </w:pPr>
      <w:r>
        <w:fldChar w:fldCharType="begin"/>
      </w:r>
      <w:r>
        <w:instrText xml:space="preserve"> HYPERLINK \l "_Toc62461304" </w:instrText>
      </w:r>
      <w:r>
        <w:fldChar w:fldCharType="separate"/>
      </w:r>
      <w:r>
        <w:rPr>
          <w:rStyle w:val="38"/>
        </w:rPr>
        <w:t>2</w:t>
      </w:r>
      <w:r>
        <w:rPr>
          <w:rFonts w:asciiTheme="minorHAnsi" w:hAnsiTheme="minorHAnsi" w:eastAsiaTheme="minorEastAsia" w:cstheme="minorBidi"/>
          <w:bCs w:val="0"/>
          <w:caps w:val="0"/>
          <w:color w:val="auto"/>
          <w:sz w:val="21"/>
        </w:rPr>
        <w:tab/>
      </w:r>
      <w:r>
        <w:rPr>
          <w:rStyle w:val="38"/>
          <w:rFonts w:hint="eastAsia"/>
        </w:rPr>
        <w:t>总体要求</w:t>
      </w:r>
      <w:r>
        <w:tab/>
      </w:r>
      <w:r>
        <w:fldChar w:fldCharType="begin"/>
      </w:r>
      <w:r>
        <w:instrText xml:space="preserve"> PAGEREF _Toc62461304 \h </w:instrText>
      </w:r>
      <w:r>
        <w:fldChar w:fldCharType="separate"/>
      </w:r>
      <w:r>
        <w:t>21</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"_Toc62461305" </w:instrText>
      </w:r>
      <w:r>
        <w:fldChar w:fldCharType="separate"/>
      </w:r>
      <w:r>
        <w:rPr>
          <w:rStyle w:val="38"/>
        </w:rPr>
        <w:t>2.1</w:t>
      </w:r>
      <w:r>
        <w:rPr>
          <w:rStyle w:val="38"/>
          <w:rFonts w:hint="eastAsia"/>
        </w:rPr>
        <w:t xml:space="preserve"> 指导思想</w:t>
      </w:r>
      <w:r>
        <w:tab/>
      </w:r>
      <w:r>
        <w:fldChar w:fldCharType="begin"/>
      </w:r>
      <w:r>
        <w:instrText xml:space="preserve"> PAGEREF _Toc62461305 \h </w:instrText>
      </w:r>
      <w:r>
        <w:fldChar w:fldCharType="separate"/>
      </w:r>
      <w:r>
        <w:t>21</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"_Toc62461306" </w:instrText>
      </w:r>
      <w:r>
        <w:fldChar w:fldCharType="separate"/>
      </w:r>
      <w:r>
        <w:rPr>
          <w:rStyle w:val="38"/>
        </w:rPr>
        <w:t>2.2</w:t>
      </w:r>
      <w:r>
        <w:rPr>
          <w:rStyle w:val="38"/>
          <w:rFonts w:hint="eastAsia"/>
        </w:rPr>
        <w:t xml:space="preserve"> 基本原则</w:t>
      </w:r>
      <w:r>
        <w:tab/>
      </w:r>
      <w:r>
        <w:fldChar w:fldCharType="begin"/>
      </w:r>
      <w:r>
        <w:instrText xml:space="preserve"> PAGEREF _Toc62461306 \h </w:instrText>
      </w:r>
      <w:r>
        <w:fldChar w:fldCharType="separate"/>
      </w:r>
      <w:r>
        <w:t>21</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"_Toc62461307" </w:instrText>
      </w:r>
      <w:r>
        <w:fldChar w:fldCharType="separate"/>
      </w:r>
      <w:r>
        <w:rPr>
          <w:rStyle w:val="38"/>
        </w:rPr>
        <w:t>2.3</w:t>
      </w:r>
      <w:r>
        <w:rPr>
          <w:rStyle w:val="38"/>
          <w:rFonts w:hint="eastAsia"/>
        </w:rPr>
        <w:t xml:space="preserve"> 规划水平年</w:t>
      </w:r>
      <w:r>
        <w:tab/>
      </w:r>
      <w:r>
        <w:fldChar w:fldCharType="begin"/>
      </w:r>
      <w:r>
        <w:instrText xml:space="preserve"> PAGEREF _Toc62461307 \h </w:instrText>
      </w:r>
      <w:r>
        <w:fldChar w:fldCharType="separate"/>
      </w:r>
      <w:r>
        <w:t>22</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"_Toc62461308" </w:instrText>
      </w:r>
      <w:r>
        <w:fldChar w:fldCharType="separate"/>
      </w:r>
      <w:r>
        <w:rPr>
          <w:rStyle w:val="38"/>
        </w:rPr>
        <w:t>2.4</w:t>
      </w:r>
      <w:r>
        <w:rPr>
          <w:rStyle w:val="38"/>
          <w:rFonts w:hint="eastAsia"/>
        </w:rPr>
        <w:t xml:space="preserve"> 规划目标</w:t>
      </w:r>
      <w:r>
        <w:tab/>
      </w:r>
      <w:r>
        <w:fldChar w:fldCharType="begin"/>
      </w:r>
      <w:r>
        <w:instrText xml:space="preserve"> PAGEREF _Toc62461308 \h </w:instrText>
      </w:r>
      <w:r>
        <w:fldChar w:fldCharType="separate"/>
      </w:r>
      <w:r>
        <w:t>22</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"_Toc62461309" </w:instrText>
      </w:r>
      <w:r>
        <w:fldChar w:fldCharType="separate"/>
      </w:r>
      <w:r>
        <w:rPr>
          <w:rStyle w:val="38"/>
        </w:rPr>
        <w:t>2.5</w:t>
      </w:r>
      <w:r>
        <w:rPr>
          <w:rStyle w:val="38"/>
          <w:rFonts w:hint="eastAsia"/>
        </w:rPr>
        <w:t xml:space="preserve"> 规划布局</w:t>
      </w:r>
      <w:r>
        <w:tab/>
      </w:r>
      <w:r>
        <w:fldChar w:fldCharType="begin"/>
      </w:r>
      <w:r>
        <w:instrText xml:space="preserve"> PAGEREF _Toc62461309 \h </w:instrText>
      </w:r>
      <w:r>
        <w:fldChar w:fldCharType="separate"/>
      </w:r>
      <w:r>
        <w:t>25</w:t>
      </w:r>
      <w:r>
        <w:fldChar w:fldCharType="end"/>
      </w:r>
      <w:r>
        <w:fldChar w:fldCharType="end"/>
      </w:r>
    </w:p>
    <w:p>
      <w:pPr>
        <w:pStyle w:val="24"/>
        <w:tabs>
          <w:tab w:val="left" w:pos="436"/>
          <w:tab w:val="right" w:leader="dot" w:pos="9060"/>
        </w:tabs>
        <w:rPr>
          <w:rFonts w:asciiTheme="minorHAnsi" w:hAnsiTheme="minorHAnsi" w:eastAsiaTheme="minorEastAsia" w:cstheme="minorBidi"/>
          <w:bCs w:val="0"/>
          <w:caps w:val="0"/>
          <w:color w:val="auto"/>
          <w:sz w:val="21"/>
        </w:rPr>
      </w:pPr>
      <w:r>
        <w:fldChar w:fldCharType="begin"/>
      </w:r>
      <w:r>
        <w:instrText xml:space="preserve"> HYPERLINK \l "_Toc62461310" </w:instrText>
      </w:r>
      <w:r>
        <w:fldChar w:fldCharType="separate"/>
      </w:r>
      <w:r>
        <w:rPr>
          <w:rStyle w:val="38"/>
          <w:kern w:val="44"/>
        </w:rPr>
        <w:t>3</w:t>
      </w:r>
      <w:r>
        <w:rPr>
          <w:rFonts w:asciiTheme="minorHAnsi" w:hAnsiTheme="minorHAnsi" w:eastAsiaTheme="minorEastAsia" w:cstheme="minorBidi"/>
          <w:bCs w:val="0"/>
          <w:caps w:val="0"/>
          <w:color w:val="auto"/>
          <w:sz w:val="21"/>
        </w:rPr>
        <w:tab/>
      </w:r>
      <w:r>
        <w:rPr>
          <w:rStyle w:val="38"/>
          <w:rFonts w:hint="eastAsia" w:ascii="Times New Roman" w:hAnsi="Times New Roman"/>
          <w:kern w:val="44"/>
        </w:rPr>
        <w:t>以水定需，全面推进节水型社会建设</w:t>
      </w:r>
      <w:r>
        <w:tab/>
      </w:r>
      <w:r>
        <w:fldChar w:fldCharType="begin"/>
      </w:r>
      <w:r>
        <w:instrText xml:space="preserve"> PAGEREF _Toc62461310 \h </w:instrText>
      </w:r>
      <w:r>
        <w:fldChar w:fldCharType="separate"/>
      </w:r>
      <w:r>
        <w:t>28</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"_Toc62461311" </w:instrText>
      </w:r>
      <w:r>
        <w:fldChar w:fldCharType="separate"/>
      </w:r>
      <w:r>
        <w:rPr>
          <w:rStyle w:val="38"/>
        </w:rPr>
        <w:t>3.1</w:t>
      </w:r>
      <w:r>
        <w:rPr>
          <w:rStyle w:val="38"/>
          <w:rFonts w:hint="eastAsia"/>
        </w:rPr>
        <w:t xml:space="preserve"> 落实最严格的水资源管理制度</w:t>
      </w:r>
      <w:r>
        <w:tab/>
      </w:r>
      <w:r>
        <w:fldChar w:fldCharType="begin"/>
      </w:r>
      <w:r>
        <w:instrText xml:space="preserve"> PAGEREF _Toc62461311 \h </w:instrText>
      </w:r>
      <w:r>
        <w:fldChar w:fldCharType="separate"/>
      </w:r>
      <w:r>
        <w:t>28</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"_Toc62461312" </w:instrText>
      </w:r>
      <w:r>
        <w:fldChar w:fldCharType="separate"/>
      </w:r>
      <w:r>
        <w:rPr>
          <w:rStyle w:val="38"/>
        </w:rPr>
        <w:t>3.2</w:t>
      </w:r>
      <w:r>
        <w:rPr>
          <w:rStyle w:val="38"/>
          <w:rFonts w:hint="eastAsia"/>
        </w:rPr>
        <w:t xml:space="preserve"> 大力推进重点领域节水</w:t>
      </w:r>
      <w:r>
        <w:tab/>
      </w:r>
      <w:r>
        <w:fldChar w:fldCharType="begin"/>
      </w:r>
      <w:r>
        <w:instrText xml:space="preserve"> PAGEREF _Toc62461312 \h </w:instrText>
      </w:r>
      <w:r>
        <w:fldChar w:fldCharType="separate"/>
      </w:r>
      <w:r>
        <w:t>28</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"_Toc62461313" </w:instrText>
      </w:r>
      <w:r>
        <w:fldChar w:fldCharType="separate"/>
      </w:r>
      <w:r>
        <w:rPr>
          <w:rStyle w:val="38"/>
        </w:rPr>
        <w:t>3.3</w:t>
      </w:r>
      <w:r>
        <w:rPr>
          <w:rStyle w:val="38"/>
          <w:rFonts w:hint="eastAsia"/>
        </w:rPr>
        <w:t xml:space="preserve"> 建立健全节水激励机制</w:t>
      </w:r>
      <w:r>
        <w:tab/>
      </w:r>
      <w:r>
        <w:fldChar w:fldCharType="begin"/>
      </w:r>
      <w:r>
        <w:instrText xml:space="preserve"> PAGEREF _Toc62461313 \h </w:instrText>
      </w:r>
      <w:r>
        <w:fldChar w:fldCharType="separate"/>
      </w:r>
      <w:r>
        <w:t>29</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"_Toc62461314" </w:instrText>
      </w:r>
      <w:r>
        <w:fldChar w:fldCharType="separate"/>
      </w:r>
      <w:r>
        <w:rPr>
          <w:rStyle w:val="38"/>
        </w:rPr>
        <w:t>3.4</w:t>
      </w:r>
      <w:r>
        <w:rPr>
          <w:rStyle w:val="38"/>
          <w:rFonts w:hint="eastAsia"/>
        </w:rPr>
        <w:t xml:space="preserve"> 培养公民节水洁水意识</w:t>
      </w:r>
      <w:r>
        <w:tab/>
      </w:r>
      <w:r>
        <w:fldChar w:fldCharType="begin"/>
      </w:r>
      <w:r>
        <w:instrText xml:space="preserve"> PAGEREF _Toc62461314 \h </w:instrText>
      </w:r>
      <w:r>
        <w:fldChar w:fldCharType="separate"/>
      </w:r>
      <w:r>
        <w:t>30</w:t>
      </w:r>
      <w:r>
        <w:fldChar w:fldCharType="end"/>
      </w:r>
      <w:r>
        <w:fldChar w:fldCharType="end"/>
      </w:r>
    </w:p>
    <w:p>
      <w:pPr>
        <w:pStyle w:val="24"/>
        <w:tabs>
          <w:tab w:val="left" w:pos="436"/>
          <w:tab w:val="right" w:leader="dot" w:pos="9060"/>
        </w:tabs>
        <w:rPr>
          <w:rFonts w:asciiTheme="minorHAnsi" w:hAnsiTheme="minorHAnsi" w:eastAsiaTheme="minorEastAsia" w:cstheme="minorBidi"/>
          <w:bCs w:val="0"/>
          <w:caps w:val="0"/>
          <w:color w:val="auto"/>
          <w:sz w:val="21"/>
        </w:rPr>
      </w:pPr>
      <w:r>
        <w:fldChar w:fldCharType="begin"/>
      </w:r>
      <w:r>
        <w:instrText xml:space="preserve"> HYPERLINK \l "_Toc62461315" </w:instrText>
      </w:r>
      <w:r>
        <w:fldChar w:fldCharType="separate"/>
      </w:r>
      <w:r>
        <w:rPr>
          <w:rStyle w:val="38"/>
          <w:kern w:val="44"/>
        </w:rPr>
        <w:t>4</w:t>
      </w:r>
      <w:r>
        <w:rPr>
          <w:rFonts w:asciiTheme="minorHAnsi" w:hAnsiTheme="minorHAnsi" w:eastAsiaTheme="minorEastAsia" w:cstheme="minorBidi"/>
          <w:bCs w:val="0"/>
          <w:caps w:val="0"/>
          <w:color w:val="auto"/>
          <w:sz w:val="21"/>
        </w:rPr>
        <w:tab/>
      </w:r>
      <w:r>
        <w:rPr>
          <w:rStyle w:val="38"/>
          <w:rFonts w:hint="eastAsia" w:ascii="Times New Roman" w:hAnsi="Times New Roman"/>
          <w:kern w:val="44"/>
        </w:rPr>
        <w:t>防治并重，保障防洪安全</w:t>
      </w:r>
      <w:r>
        <w:tab/>
      </w:r>
      <w:r>
        <w:fldChar w:fldCharType="begin"/>
      </w:r>
      <w:r>
        <w:instrText xml:space="preserve"> PAGEREF _Toc62461315 \h </w:instrText>
      </w:r>
      <w:r>
        <w:fldChar w:fldCharType="separate"/>
      </w:r>
      <w:r>
        <w:t>31</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"_Toc62461316" </w:instrText>
      </w:r>
      <w:r>
        <w:fldChar w:fldCharType="separate"/>
      </w:r>
      <w:r>
        <w:rPr>
          <w:rStyle w:val="38"/>
        </w:rPr>
        <w:t>4.1</w:t>
      </w:r>
      <w:r>
        <w:rPr>
          <w:rStyle w:val="38"/>
          <w:rFonts w:hint="eastAsia"/>
        </w:rPr>
        <w:t xml:space="preserve"> 中小河流治理</w:t>
      </w:r>
      <w:r>
        <w:tab/>
      </w:r>
      <w:r>
        <w:fldChar w:fldCharType="begin"/>
      </w:r>
      <w:r>
        <w:instrText xml:space="preserve"> PAGEREF _Toc62461316 \h </w:instrText>
      </w:r>
      <w:r>
        <w:fldChar w:fldCharType="separate"/>
      </w:r>
      <w:r>
        <w:t>31</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"_Toc62461317" </w:instrText>
      </w:r>
      <w:r>
        <w:fldChar w:fldCharType="separate"/>
      </w:r>
      <w:r>
        <w:rPr>
          <w:rStyle w:val="38"/>
        </w:rPr>
        <w:t>4.2</w:t>
      </w:r>
      <w:r>
        <w:rPr>
          <w:rStyle w:val="38"/>
          <w:rFonts w:hint="eastAsia"/>
        </w:rPr>
        <w:t xml:space="preserve"> 山洪灾害防治</w:t>
      </w:r>
      <w:r>
        <w:tab/>
      </w:r>
      <w:r>
        <w:fldChar w:fldCharType="begin"/>
      </w:r>
      <w:r>
        <w:instrText xml:space="preserve"> PAGEREF _Toc62461317 \h </w:instrText>
      </w:r>
      <w:r>
        <w:fldChar w:fldCharType="separate"/>
      </w:r>
      <w:r>
        <w:t>31</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"_Toc62461318" </w:instrText>
      </w:r>
      <w:r>
        <w:fldChar w:fldCharType="separate"/>
      </w:r>
      <w:r>
        <w:rPr>
          <w:rStyle w:val="38"/>
        </w:rPr>
        <w:t>4.3</w:t>
      </w:r>
      <w:r>
        <w:rPr>
          <w:rStyle w:val="38"/>
          <w:rFonts w:hint="eastAsia"/>
        </w:rPr>
        <w:t xml:space="preserve"> 病险水库（闸）除险加固</w:t>
      </w:r>
      <w:r>
        <w:tab/>
      </w:r>
      <w:r>
        <w:fldChar w:fldCharType="begin"/>
      </w:r>
      <w:r>
        <w:instrText xml:space="preserve"> PAGEREF _Toc62461318 \h </w:instrText>
      </w:r>
      <w:r>
        <w:fldChar w:fldCharType="separate"/>
      </w:r>
      <w:r>
        <w:t>32</w:t>
      </w:r>
      <w:r>
        <w:fldChar w:fldCharType="end"/>
      </w:r>
      <w:r>
        <w:fldChar w:fldCharType="end"/>
      </w:r>
    </w:p>
    <w:p>
      <w:pPr>
        <w:pStyle w:val="24"/>
        <w:tabs>
          <w:tab w:val="left" w:pos="436"/>
          <w:tab w:val="right" w:leader="dot" w:pos="9060"/>
        </w:tabs>
        <w:rPr>
          <w:rFonts w:asciiTheme="minorHAnsi" w:hAnsiTheme="minorHAnsi" w:eastAsiaTheme="minorEastAsia" w:cstheme="minorBidi"/>
          <w:bCs w:val="0"/>
          <w:caps w:val="0"/>
          <w:color w:val="auto"/>
          <w:sz w:val="21"/>
        </w:rPr>
      </w:pPr>
      <w:r>
        <w:fldChar w:fldCharType="begin"/>
      </w:r>
      <w:r>
        <w:instrText xml:space="preserve"> HYPERLINK \l "_Toc62461319" </w:instrText>
      </w:r>
      <w:r>
        <w:fldChar w:fldCharType="separate"/>
      </w:r>
      <w:r>
        <w:rPr>
          <w:rStyle w:val="38"/>
        </w:rPr>
        <w:t>5</w:t>
      </w:r>
      <w:r>
        <w:rPr>
          <w:rFonts w:asciiTheme="minorHAnsi" w:hAnsiTheme="minorHAnsi" w:eastAsiaTheme="minorEastAsia" w:cstheme="minorBidi"/>
          <w:bCs w:val="0"/>
          <w:caps w:val="0"/>
          <w:color w:val="auto"/>
          <w:sz w:val="21"/>
        </w:rPr>
        <w:tab/>
      </w:r>
      <w:r>
        <w:rPr>
          <w:rStyle w:val="38"/>
          <w:rFonts w:hint="eastAsia"/>
        </w:rPr>
        <w:t>质量统筹，保障供水安全</w:t>
      </w:r>
      <w:r>
        <w:tab/>
      </w:r>
      <w:r>
        <w:fldChar w:fldCharType="begin"/>
      </w:r>
      <w:r>
        <w:instrText xml:space="preserve"> PAGEREF _Toc62461319 \h </w:instrText>
      </w:r>
      <w:r>
        <w:fldChar w:fldCharType="separate"/>
      </w:r>
      <w:r>
        <w:t>35</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"_Toc62461320" </w:instrText>
      </w:r>
      <w:r>
        <w:fldChar w:fldCharType="separate"/>
      </w:r>
      <w:r>
        <w:rPr>
          <w:rStyle w:val="38"/>
        </w:rPr>
        <w:t>5.1</w:t>
      </w:r>
      <w:r>
        <w:rPr>
          <w:rStyle w:val="38"/>
          <w:rFonts w:hint="eastAsia"/>
        </w:rPr>
        <w:t xml:space="preserve"> 加快骨干水源工程建设</w:t>
      </w:r>
      <w:r>
        <w:tab/>
      </w:r>
      <w:r>
        <w:fldChar w:fldCharType="begin"/>
      </w:r>
      <w:r>
        <w:instrText xml:space="preserve"> PAGEREF _Toc62461320 \h </w:instrText>
      </w:r>
      <w:r>
        <w:fldChar w:fldCharType="separate"/>
      </w:r>
      <w:r>
        <w:t>35</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"_Toc62461321" </w:instrText>
      </w:r>
      <w:r>
        <w:fldChar w:fldCharType="separate"/>
      </w:r>
      <w:r>
        <w:rPr>
          <w:rStyle w:val="38"/>
        </w:rPr>
        <w:t>5.2</w:t>
      </w:r>
      <w:r>
        <w:rPr>
          <w:rStyle w:val="38"/>
          <w:rFonts w:hint="eastAsia" w:ascii="Times New Roman" w:hAnsi="Times New Roman"/>
        </w:rPr>
        <w:t xml:space="preserve"> 水系连通</w:t>
      </w:r>
      <w:r>
        <w:tab/>
      </w:r>
      <w:r>
        <w:fldChar w:fldCharType="begin"/>
      </w:r>
      <w:r>
        <w:instrText xml:space="preserve"> PAGEREF _Toc62461321 \h </w:instrText>
      </w:r>
      <w:r>
        <w:fldChar w:fldCharType="separate"/>
      </w:r>
      <w:r>
        <w:t>37</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"_Toc62461322" </w:instrText>
      </w:r>
      <w:r>
        <w:fldChar w:fldCharType="separate"/>
      </w:r>
      <w:r>
        <w:rPr>
          <w:rStyle w:val="38"/>
        </w:rPr>
        <w:t>5.3</w:t>
      </w:r>
      <w:r>
        <w:rPr>
          <w:rStyle w:val="38"/>
          <w:rFonts w:hint="eastAsia" w:ascii="Times New Roman" w:hAnsi="Times New Roman"/>
        </w:rPr>
        <w:t xml:space="preserve"> 中型灌区建设</w:t>
      </w:r>
      <w:r>
        <w:tab/>
      </w:r>
      <w:r>
        <w:fldChar w:fldCharType="begin"/>
      </w:r>
      <w:r>
        <w:instrText xml:space="preserve"> PAGEREF _Toc62461322 \h </w:instrText>
      </w:r>
      <w:r>
        <w:fldChar w:fldCharType="separate"/>
      </w:r>
      <w:r>
        <w:t>37</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"_Toc62461323" </w:instrText>
      </w:r>
      <w:r>
        <w:fldChar w:fldCharType="separate"/>
      </w:r>
      <w:r>
        <w:rPr>
          <w:rStyle w:val="38"/>
        </w:rPr>
        <w:t>5.4</w:t>
      </w:r>
      <w:r>
        <w:rPr>
          <w:rStyle w:val="38"/>
          <w:rFonts w:hint="eastAsia" w:ascii="Times New Roman" w:hAnsi="Times New Roman"/>
        </w:rPr>
        <w:t xml:space="preserve"> 增强抗旱应急能力</w:t>
      </w:r>
      <w:r>
        <w:tab/>
      </w:r>
      <w:r>
        <w:fldChar w:fldCharType="begin"/>
      </w:r>
      <w:r>
        <w:instrText xml:space="preserve"> PAGEREF _Toc62461323 \h </w:instrText>
      </w:r>
      <w:r>
        <w:fldChar w:fldCharType="separate"/>
      </w:r>
      <w:r>
        <w:t>38</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"_Toc62461324" </w:instrText>
      </w:r>
      <w:r>
        <w:fldChar w:fldCharType="separate"/>
      </w:r>
      <w:r>
        <w:rPr>
          <w:rStyle w:val="38"/>
        </w:rPr>
        <w:t>5.5</w:t>
      </w:r>
      <w:r>
        <w:rPr>
          <w:rStyle w:val="38"/>
          <w:rFonts w:hint="eastAsia" w:ascii="Times New Roman" w:hAnsi="Times New Roman"/>
        </w:rPr>
        <w:t xml:space="preserve"> 大型灌区</w:t>
      </w:r>
      <w:r>
        <w:rPr>
          <w:rStyle w:val="38"/>
          <w:rFonts w:hint="eastAsia"/>
        </w:rPr>
        <w:t>现代化建设与改造</w:t>
      </w:r>
      <w:r>
        <w:tab/>
      </w:r>
      <w:r>
        <w:fldChar w:fldCharType="begin"/>
      </w:r>
      <w:r>
        <w:instrText xml:space="preserve"> PAGEREF _Toc62461324 \h </w:instrText>
      </w:r>
      <w:r>
        <w:fldChar w:fldCharType="separate"/>
      </w:r>
      <w:r>
        <w:t>40</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"_Toc62461325" </w:instrText>
      </w:r>
      <w:r>
        <w:fldChar w:fldCharType="separate"/>
      </w:r>
      <w:r>
        <w:rPr>
          <w:rStyle w:val="38"/>
        </w:rPr>
        <w:t>5.6</w:t>
      </w:r>
      <w:r>
        <w:rPr>
          <w:rStyle w:val="38"/>
          <w:rFonts w:hint="eastAsia" w:ascii="Times New Roman" w:hAnsi="Times New Roman"/>
        </w:rPr>
        <w:t xml:space="preserve"> “十四五”农村饮水安全巩固提升工程</w:t>
      </w:r>
      <w:r>
        <w:tab/>
      </w:r>
      <w:r>
        <w:fldChar w:fldCharType="begin"/>
      </w:r>
      <w:r>
        <w:instrText xml:space="preserve"> PAGEREF _Toc62461325 \h </w:instrText>
      </w:r>
      <w:r>
        <w:fldChar w:fldCharType="separate"/>
      </w:r>
      <w:r>
        <w:t>41</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"_Toc62461326" </w:instrText>
      </w:r>
      <w:r>
        <w:fldChar w:fldCharType="separate"/>
      </w:r>
      <w:r>
        <w:rPr>
          <w:rStyle w:val="38"/>
        </w:rPr>
        <w:t>5.7</w:t>
      </w:r>
      <w:r>
        <w:rPr>
          <w:rStyle w:val="38"/>
          <w:rFonts w:hint="eastAsia" w:ascii="Times New Roman" w:hAnsi="Times New Roman"/>
        </w:rPr>
        <w:t xml:space="preserve"> 水库清淤增效工程</w:t>
      </w:r>
      <w:r>
        <w:tab/>
      </w:r>
      <w:r>
        <w:fldChar w:fldCharType="begin"/>
      </w:r>
      <w:r>
        <w:instrText xml:space="preserve"> PAGEREF _Toc62461326 \h </w:instrText>
      </w:r>
      <w:r>
        <w:fldChar w:fldCharType="separate"/>
      </w:r>
      <w:r>
        <w:t>42</w:t>
      </w:r>
      <w:r>
        <w:fldChar w:fldCharType="end"/>
      </w:r>
      <w:r>
        <w:fldChar w:fldCharType="end"/>
      </w:r>
    </w:p>
    <w:p>
      <w:pPr>
        <w:pStyle w:val="24"/>
        <w:tabs>
          <w:tab w:val="left" w:pos="436"/>
          <w:tab w:val="right" w:leader="dot" w:pos="9060"/>
        </w:tabs>
        <w:rPr>
          <w:rFonts w:asciiTheme="minorHAnsi" w:hAnsiTheme="minorHAnsi" w:eastAsiaTheme="minorEastAsia" w:cstheme="minorBidi"/>
          <w:bCs w:val="0"/>
          <w:caps w:val="0"/>
          <w:color w:val="auto"/>
          <w:sz w:val="21"/>
        </w:rPr>
      </w:pPr>
      <w:r>
        <w:fldChar w:fldCharType="begin"/>
      </w:r>
      <w:r>
        <w:instrText xml:space="preserve"> HYPERLINK \l "_Toc62461327" </w:instrText>
      </w:r>
      <w:r>
        <w:fldChar w:fldCharType="separate"/>
      </w:r>
      <w:r>
        <w:rPr>
          <w:rStyle w:val="38"/>
        </w:rPr>
        <w:t>6</w:t>
      </w:r>
      <w:r>
        <w:rPr>
          <w:rFonts w:asciiTheme="minorHAnsi" w:hAnsiTheme="minorHAnsi" w:eastAsiaTheme="minorEastAsia" w:cstheme="minorBidi"/>
          <w:bCs w:val="0"/>
          <w:caps w:val="0"/>
          <w:color w:val="auto"/>
          <w:sz w:val="21"/>
        </w:rPr>
        <w:tab/>
      </w:r>
      <w:r>
        <w:rPr>
          <w:rStyle w:val="38"/>
          <w:rFonts w:hint="eastAsia"/>
        </w:rPr>
        <w:t>防治结合，保障水生态安全</w:t>
      </w:r>
      <w:r>
        <w:tab/>
      </w:r>
      <w:r>
        <w:fldChar w:fldCharType="begin"/>
      </w:r>
      <w:r>
        <w:instrText xml:space="preserve"> PAGEREF _Toc62461327 \h </w:instrText>
      </w:r>
      <w:r>
        <w:fldChar w:fldCharType="separate"/>
      </w:r>
      <w:r>
        <w:t>43</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"_Toc62461328" </w:instrText>
      </w:r>
      <w:r>
        <w:fldChar w:fldCharType="separate"/>
      </w:r>
      <w:r>
        <w:rPr>
          <w:rStyle w:val="38"/>
        </w:rPr>
        <w:t>6.1</w:t>
      </w:r>
      <w:r>
        <w:rPr>
          <w:rStyle w:val="38"/>
          <w:rFonts w:hint="eastAsia" w:ascii="Times New Roman" w:hAnsi="Times New Roman"/>
        </w:rPr>
        <w:t xml:space="preserve"> 大力推进水土流失综合治理</w:t>
      </w:r>
      <w:r>
        <w:tab/>
      </w:r>
      <w:r>
        <w:fldChar w:fldCharType="begin"/>
      </w:r>
      <w:r>
        <w:instrText xml:space="preserve"> PAGEREF _Toc62461328 \h </w:instrText>
      </w:r>
      <w:r>
        <w:fldChar w:fldCharType="separate"/>
      </w:r>
      <w:r>
        <w:t>43</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"_Toc62461329" </w:instrText>
      </w:r>
      <w:r>
        <w:fldChar w:fldCharType="separate"/>
      </w:r>
      <w:r>
        <w:rPr>
          <w:rStyle w:val="38"/>
        </w:rPr>
        <w:t>6.2</w:t>
      </w:r>
      <w:r>
        <w:rPr>
          <w:rStyle w:val="38"/>
          <w:rFonts w:hint="eastAsia" w:ascii="Times New Roman" w:hAnsi="Times New Roman"/>
        </w:rPr>
        <w:t xml:space="preserve"> 重点河湖生态治理与修复</w:t>
      </w:r>
      <w:r>
        <w:tab/>
      </w:r>
      <w:r>
        <w:fldChar w:fldCharType="begin"/>
      </w:r>
      <w:r>
        <w:instrText xml:space="preserve"> PAGEREF _Toc62461329 \h </w:instrText>
      </w:r>
      <w:r>
        <w:fldChar w:fldCharType="separate"/>
      </w:r>
      <w:r>
        <w:t>44</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"_Toc62461330" </w:instrText>
      </w:r>
      <w:r>
        <w:fldChar w:fldCharType="separate"/>
      </w:r>
      <w:r>
        <w:rPr>
          <w:rStyle w:val="38"/>
        </w:rPr>
        <w:t>6.3</w:t>
      </w:r>
      <w:r>
        <w:rPr>
          <w:rStyle w:val="38"/>
          <w:rFonts w:hint="eastAsia" w:ascii="Times New Roman" w:hAnsi="Times New Roman"/>
        </w:rPr>
        <w:t xml:space="preserve"> 推进农村水系综合整治</w:t>
      </w:r>
      <w:r>
        <w:tab/>
      </w:r>
      <w:r>
        <w:fldChar w:fldCharType="begin"/>
      </w:r>
      <w:r>
        <w:instrText xml:space="preserve"> PAGEREF _Toc62461330 \h </w:instrText>
      </w:r>
      <w:r>
        <w:fldChar w:fldCharType="separate"/>
      </w:r>
      <w:r>
        <w:t>45</w:t>
      </w:r>
      <w:r>
        <w:fldChar w:fldCharType="end"/>
      </w:r>
      <w:r>
        <w:fldChar w:fldCharType="end"/>
      </w:r>
    </w:p>
    <w:p>
      <w:pPr>
        <w:pStyle w:val="24"/>
        <w:tabs>
          <w:tab w:val="left" w:pos="436"/>
          <w:tab w:val="right" w:leader="dot" w:pos="9060"/>
        </w:tabs>
        <w:rPr>
          <w:rFonts w:asciiTheme="minorHAnsi" w:hAnsiTheme="minorHAnsi" w:eastAsiaTheme="minorEastAsia" w:cstheme="minorBidi"/>
          <w:bCs w:val="0"/>
          <w:caps w:val="0"/>
          <w:color w:val="auto"/>
          <w:sz w:val="21"/>
        </w:rPr>
      </w:pPr>
      <w:r>
        <w:fldChar w:fldCharType="begin"/>
      </w:r>
      <w:r>
        <w:instrText xml:space="preserve"> HYPERLINK \l "_Toc62461331" </w:instrText>
      </w:r>
      <w:r>
        <w:fldChar w:fldCharType="separate"/>
      </w:r>
      <w:r>
        <w:rPr>
          <w:rStyle w:val="38"/>
        </w:rPr>
        <w:t>7</w:t>
      </w:r>
      <w:r>
        <w:rPr>
          <w:rFonts w:asciiTheme="minorHAnsi" w:hAnsiTheme="minorHAnsi" w:eastAsiaTheme="minorEastAsia" w:cstheme="minorBidi"/>
          <w:bCs w:val="0"/>
          <w:caps w:val="0"/>
          <w:color w:val="auto"/>
          <w:sz w:val="21"/>
        </w:rPr>
        <w:tab/>
      </w:r>
      <w:r>
        <w:rPr>
          <w:rStyle w:val="38"/>
          <w:rFonts w:hint="eastAsia"/>
        </w:rPr>
        <w:t>稳步推进，提升水利智慧化水平</w:t>
      </w:r>
      <w:r>
        <w:tab/>
      </w:r>
      <w:r>
        <w:fldChar w:fldCharType="begin"/>
      </w:r>
      <w:r>
        <w:instrText xml:space="preserve"> PAGEREF _Toc62461331 \h </w:instrText>
      </w:r>
      <w:r>
        <w:fldChar w:fldCharType="separate"/>
      </w:r>
      <w:r>
        <w:t>46</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"_Toc62461332" </w:instrText>
      </w:r>
      <w:r>
        <w:fldChar w:fldCharType="separate"/>
      </w:r>
      <w:r>
        <w:rPr>
          <w:rStyle w:val="38"/>
        </w:rPr>
        <w:t>7.1</w:t>
      </w:r>
      <w:r>
        <w:rPr>
          <w:rStyle w:val="38"/>
          <w:rFonts w:hint="eastAsia" w:ascii="Times New Roman" w:hAnsi="Times New Roman"/>
        </w:rPr>
        <w:t xml:space="preserve"> 加快工程管理监测系统建设</w:t>
      </w:r>
      <w:r>
        <w:tab/>
      </w:r>
      <w:r>
        <w:fldChar w:fldCharType="begin"/>
      </w:r>
      <w:r>
        <w:instrText xml:space="preserve"> PAGEREF _Toc62461332 \h </w:instrText>
      </w:r>
      <w:r>
        <w:fldChar w:fldCharType="separate"/>
      </w:r>
      <w:r>
        <w:t>46</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"_Toc62461333" </w:instrText>
      </w:r>
      <w:r>
        <w:fldChar w:fldCharType="separate"/>
      </w:r>
      <w:r>
        <w:rPr>
          <w:rStyle w:val="38"/>
        </w:rPr>
        <w:t>7.2</w:t>
      </w:r>
      <w:r>
        <w:rPr>
          <w:rStyle w:val="38"/>
          <w:rFonts w:hint="eastAsia" w:ascii="Times New Roman" w:hAnsi="Times New Roman"/>
        </w:rPr>
        <w:t xml:space="preserve"> 河长制智能管控系统</w:t>
      </w:r>
      <w:r>
        <w:tab/>
      </w:r>
      <w:r>
        <w:fldChar w:fldCharType="begin"/>
      </w:r>
      <w:r>
        <w:instrText xml:space="preserve"> PAGEREF _Toc62461333 \h </w:instrText>
      </w:r>
      <w:r>
        <w:fldChar w:fldCharType="separate"/>
      </w:r>
      <w:r>
        <w:t>47</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"_Toc62461334" </w:instrText>
      </w:r>
      <w:r>
        <w:fldChar w:fldCharType="separate"/>
      </w:r>
      <w:r>
        <w:rPr>
          <w:rStyle w:val="38"/>
        </w:rPr>
        <w:t>7.3</w:t>
      </w:r>
      <w:r>
        <w:rPr>
          <w:rStyle w:val="38"/>
          <w:rFonts w:hint="eastAsia" w:ascii="Times New Roman" w:hAnsi="Times New Roman"/>
        </w:rPr>
        <w:t xml:space="preserve"> 完善防汛抗旱应急指挥系统</w:t>
      </w:r>
      <w:r>
        <w:tab/>
      </w:r>
      <w:r>
        <w:fldChar w:fldCharType="begin"/>
      </w:r>
      <w:r>
        <w:instrText xml:space="preserve"> PAGEREF _Toc62461334 \h </w:instrText>
      </w:r>
      <w:r>
        <w:fldChar w:fldCharType="separate"/>
      </w:r>
      <w:r>
        <w:t>47</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"_Toc62461335" </w:instrText>
      </w:r>
      <w:r>
        <w:fldChar w:fldCharType="separate"/>
      </w:r>
      <w:r>
        <w:rPr>
          <w:rStyle w:val="38"/>
        </w:rPr>
        <w:t>7.4</w:t>
      </w:r>
      <w:r>
        <w:rPr>
          <w:rStyle w:val="38"/>
          <w:rFonts w:hint="eastAsia" w:ascii="Times New Roman" w:hAnsi="Times New Roman"/>
        </w:rPr>
        <w:t xml:space="preserve"> 水务系统能力建设</w:t>
      </w:r>
      <w:r>
        <w:tab/>
      </w:r>
      <w:r>
        <w:fldChar w:fldCharType="begin"/>
      </w:r>
      <w:r>
        <w:instrText xml:space="preserve"> PAGEREF _Toc62461335 \h </w:instrText>
      </w:r>
      <w:r>
        <w:fldChar w:fldCharType="separate"/>
      </w:r>
      <w:r>
        <w:t>48</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"_Toc62461336" </w:instrText>
      </w:r>
      <w:r>
        <w:fldChar w:fldCharType="separate"/>
      </w:r>
      <w:r>
        <w:rPr>
          <w:rStyle w:val="38"/>
        </w:rPr>
        <w:t>7.5</w:t>
      </w:r>
      <w:r>
        <w:rPr>
          <w:rStyle w:val="38"/>
          <w:rFonts w:hint="eastAsia" w:ascii="Times New Roman" w:hAnsi="Times New Roman"/>
        </w:rPr>
        <w:t xml:space="preserve"> 加快智慧灌区建设</w:t>
      </w:r>
      <w:r>
        <w:tab/>
      </w:r>
      <w:r>
        <w:fldChar w:fldCharType="begin"/>
      </w:r>
      <w:r>
        <w:instrText xml:space="preserve"> PAGEREF _Toc62461336 \h </w:instrText>
      </w:r>
      <w:r>
        <w:fldChar w:fldCharType="separate"/>
      </w:r>
      <w:r>
        <w:t>48</w:t>
      </w:r>
      <w:r>
        <w:fldChar w:fldCharType="end"/>
      </w:r>
      <w:r>
        <w:fldChar w:fldCharType="end"/>
      </w:r>
    </w:p>
    <w:p>
      <w:pPr>
        <w:pStyle w:val="24"/>
        <w:tabs>
          <w:tab w:val="left" w:pos="436"/>
          <w:tab w:val="right" w:leader="dot" w:pos="9060"/>
        </w:tabs>
        <w:rPr>
          <w:rFonts w:asciiTheme="minorHAnsi" w:hAnsiTheme="minorHAnsi" w:eastAsiaTheme="minorEastAsia" w:cstheme="minorBidi"/>
          <w:bCs w:val="0"/>
          <w:caps w:val="0"/>
          <w:color w:val="auto"/>
          <w:sz w:val="21"/>
        </w:rPr>
      </w:pPr>
      <w:r>
        <w:fldChar w:fldCharType="begin"/>
      </w:r>
      <w:r>
        <w:instrText xml:space="preserve"> HYPERLINK \l "_Toc62461337" </w:instrText>
      </w:r>
      <w:r>
        <w:fldChar w:fldCharType="separate"/>
      </w:r>
      <w:r>
        <w:rPr>
          <w:rStyle w:val="38"/>
        </w:rPr>
        <w:t>8</w:t>
      </w:r>
      <w:r>
        <w:rPr>
          <w:rFonts w:asciiTheme="minorHAnsi" w:hAnsiTheme="minorHAnsi" w:eastAsiaTheme="minorEastAsia" w:cstheme="minorBidi"/>
          <w:bCs w:val="0"/>
          <w:caps w:val="0"/>
          <w:color w:val="auto"/>
          <w:sz w:val="21"/>
        </w:rPr>
        <w:tab/>
      </w:r>
      <w:r>
        <w:rPr>
          <w:rStyle w:val="38"/>
          <w:rFonts w:hint="eastAsia"/>
        </w:rPr>
        <w:t>改革创新，推进水治理能力现代化</w:t>
      </w:r>
      <w:r>
        <w:tab/>
      </w:r>
      <w:r>
        <w:fldChar w:fldCharType="begin"/>
      </w:r>
      <w:r>
        <w:instrText xml:space="preserve"> PAGEREF _Toc62461337 \h </w:instrText>
      </w:r>
      <w:r>
        <w:fldChar w:fldCharType="separate"/>
      </w:r>
      <w:r>
        <w:t>50</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"_Toc62461338" </w:instrText>
      </w:r>
      <w:r>
        <w:fldChar w:fldCharType="separate"/>
      </w:r>
      <w:r>
        <w:rPr>
          <w:rStyle w:val="38"/>
        </w:rPr>
        <w:t>8.1</w:t>
      </w:r>
      <w:r>
        <w:rPr>
          <w:rStyle w:val="38"/>
          <w:rFonts w:hint="eastAsia" w:ascii="Times New Roman" w:hAnsi="Times New Roman"/>
        </w:rPr>
        <w:t xml:space="preserve"> 全面推进依法治水</w:t>
      </w:r>
      <w:r>
        <w:tab/>
      </w:r>
      <w:r>
        <w:fldChar w:fldCharType="begin"/>
      </w:r>
      <w:r>
        <w:instrText xml:space="preserve"> PAGEREF _Toc62461338 \h </w:instrText>
      </w:r>
      <w:r>
        <w:fldChar w:fldCharType="separate"/>
      </w:r>
      <w:r>
        <w:t>50</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"_Toc62461339" </w:instrText>
      </w:r>
      <w:r>
        <w:fldChar w:fldCharType="separate"/>
      </w:r>
      <w:r>
        <w:rPr>
          <w:rStyle w:val="38"/>
        </w:rPr>
        <w:t>8.2</w:t>
      </w:r>
      <w:r>
        <w:rPr>
          <w:rStyle w:val="38"/>
          <w:rFonts w:hint="eastAsia" w:ascii="Times New Roman" w:hAnsi="Times New Roman"/>
        </w:rPr>
        <w:t xml:space="preserve"> 落实政府水安全保障责任</w:t>
      </w:r>
      <w:r>
        <w:tab/>
      </w:r>
      <w:r>
        <w:fldChar w:fldCharType="begin"/>
      </w:r>
      <w:r>
        <w:instrText xml:space="preserve"> PAGEREF _Toc62461339 \h </w:instrText>
      </w:r>
      <w:r>
        <w:fldChar w:fldCharType="separate"/>
      </w:r>
      <w:r>
        <w:t>51</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"_Toc62461340" </w:instrText>
      </w:r>
      <w:r>
        <w:fldChar w:fldCharType="separate"/>
      </w:r>
      <w:r>
        <w:rPr>
          <w:rStyle w:val="38"/>
        </w:rPr>
        <w:t>8.3</w:t>
      </w:r>
      <w:r>
        <w:rPr>
          <w:rStyle w:val="38"/>
          <w:rFonts w:hint="eastAsia" w:ascii="Times New Roman" w:hAnsi="Times New Roman"/>
        </w:rPr>
        <w:t xml:space="preserve"> 充分发挥市场机制作用</w:t>
      </w:r>
      <w:r>
        <w:tab/>
      </w:r>
      <w:r>
        <w:fldChar w:fldCharType="begin"/>
      </w:r>
      <w:r>
        <w:instrText xml:space="preserve"> PAGEREF _Toc62461340 \h </w:instrText>
      </w:r>
      <w:r>
        <w:fldChar w:fldCharType="separate"/>
      </w:r>
      <w:r>
        <w:t>51</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"_Toc62461341" </w:instrText>
      </w:r>
      <w:r>
        <w:fldChar w:fldCharType="separate"/>
      </w:r>
      <w:r>
        <w:rPr>
          <w:rStyle w:val="38"/>
        </w:rPr>
        <w:t>8.4</w:t>
      </w:r>
      <w:r>
        <w:rPr>
          <w:rStyle w:val="38"/>
          <w:rFonts w:hint="eastAsia" w:ascii="Times New Roman" w:hAnsi="Times New Roman"/>
        </w:rPr>
        <w:t xml:space="preserve"> 持续提升水利行业能力</w:t>
      </w:r>
      <w:r>
        <w:tab/>
      </w:r>
      <w:r>
        <w:fldChar w:fldCharType="begin"/>
      </w:r>
      <w:r>
        <w:instrText xml:space="preserve"> PAGEREF _Toc62461341 \h </w:instrText>
      </w:r>
      <w:r>
        <w:fldChar w:fldCharType="separate"/>
      </w:r>
      <w:r>
        <w:t>51</w:t>
      </w:r>
      <w:r>
        <w:fldChar w:fldCharType="end"/>
      </w:r>
      <w:r>
        <w:fldChar w:fldCharType="end"/>
      </w:r>
    </w:p>
    <w:p>
      <w:pPr>
        <w:pStyle w:val="24"/>
        <w:tabs>
          <w:tab w:val="left" w:pos="436"/>
          <w:tab w:val="right" w:leader="dot" w:pos="9060"/>
        </w:tabs>
        <w:rPr>
          <w:rFonts w:asciiTheme="minorHAnsi" w:hAnsiTheme="minorHAnsi" w:eastAsiaTheme="minorEastAsia" w:cstheme="minorBidi"/>
          <w:bCs w:val="0"/>
          <w:caps w:val="0"/>
          <w:color w:val="auto"/>
          <w:sz w:val="21"/>
        </w:rPr>
      </w:pPr>
      <w:r>
        <w:fldChar w:fldCharType="begin"/>
      </w:r>
      <w:r>
        <w:instrText xml:space="preserve"> HYPERLINK \l "_Toc62461342" </w:instrText>
      </w:r>
      <w:r>
        <w:fldChar w:fldCharType="separate"/>
      </w:r>
      <w:r>
        <w:rPr>
          <w:rStyle w:val="38"/>
        </w:rPr>
        <w:t>9</w:t>
      </w:r>
      <w:r>
        <w:rPr>
          <w:rFonts w:asciiTheme="minorHAnsi" w:hAnsiTheme="minorHAnsi" w:eastAsiaTheme="minorEastAsia" w:cstheme="minorBidi"/>
          <w:bCs w:val="0"/>
          <w:caps w:val="0"/>
          <w:color w:val="auto"/>
          <w:sz w:val="21"/>
        </w:rPr>
        <w:tab/>
      </w:r>
      <w:r>
        <w:rPr>
          <w:rStyle w:val="38"/>
          <w:rFonts w:hint="eastAsia"/>
        </w:rPr>
        <w:t>强化监管，提升涉水事务监管水平</w:t>
      </w:r>
      <w:r>
        <w:tab/>
      </w:r>
      <w:r>
        <w:fldChar w:fldCharType="begin"/>
      </w:r>
      <w:r>
        <w:instrText xml:space="preserve"> PAGEREF _Toc62461342 \h </w:instrText>
      </w:r>
      <w:r>
        <w:fldChar w:fldCharType="separate"/>
      </w:r>
      <w:r>
        <w:t>53</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"_Toc62461343" </w:instrText>
      </w:r>
      <w:r>
        <w:fldChar w:fldCharType="separate"/>
      </w:r>
      <w:r>
        <w:rPr>
          <w:rStyle w:val="38"/>
        </w:rPr>
        <w:t>9.1</w:t>
      </w:r>
      <w:r>
        <w:rPr>
          <w:rStyle w:val="38"/>
          <w:rFonts w:hint="eastAsia"/>
        </w:rPr>
        <w:t xml:space="preserve"> 完善监管法治体制机制，建立健全监管制度体系</w:t>
      </w:r>
      <w:r>
        <w:tab/>
      </w:r>
      <w:r>
        <w:fldChar w:fldCharType="begin"/>
      </w:r>
      <w:r>
        <w:instrText xml:space="preserve"> PAGEREF _Toc62461343 \h </w:instrText>
      </w:r>
      <w:r>
        <w:fldChar w:fldCharType="separate"/>
      </w:r>
      <w:r>
        <w:t>53</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"_Toc62461344" </w:instrText>
      </w:r>
      <w:r>
        <w:fldChar w:fldCharType="separate"/>
      </w:r>
      <w:r>
        <w:rPr>
          <w:rStyle w:val="38"/>
        </w:rPr>
        <w:t>9.2</w:t>
      </w:r>
      <w:r>
        <w:rPr>
          <w:rStyle w:val="38"/>
          <w:rFonts w:hint="eastAsia"/>
        </w:rPr>
        <w:t xml:space="preserve"> 强化江河湖泊的监管，持续改善河湖面貌</w:t>
      </w:r>
      <w:r>
        <w:tab/>
      </w:r>
      <w:r>
        <w:fldChar w:fldCharType="begin"/>
      </w:r>
      <w:r>
        <w:instrText xml:space="preserve"> PAGEREF _Toc62461344 \h </w:instrText>
      </w:r>
      <w:r>
        <w:fldChar w:fldCharType="separate"/>
      </w:r>
      <w:r>
        <w:t>53</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"_Toc62461345" </w:instrText>
      </w:r>
      <w:r>
        <w:fldChar w:fldCharType="separate"/>
      </w:r>
      <w:r>
        <w:rPr>
          <w:rStyle w:val="38"/>
        </w:rPr>
        <w:t>9.3</w:t>
      </w:r>
      <w:r>
        <w:rPr>
          <w:rStyle w:val="38"/>
          <w:rFonts w:hint="eastAsia"/>
        </w:rPr>
        <w:t xml:space="preserve"> 强化水资源的监管，促进水资源节约集约利用</w:t>
      </w:r>
      <w:r>
        <w:tab/>
      </w:r>
      <w:r>
        <w:fldChar w:fldCharType="begin"/>
      </w:r>
      <w:r>
        <w:instrText xml:space="preserve"> PAGEREF _Toc62461345 \h </w:instrText>
      </w:r>
      <w:r>
        <w:fldChar w:fldCharType="separate"/>
      </w:r>
      <w:r>
        <w:t>53</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"_Toc62461346" </w:instrText>
      </w:r>
      <w:r>
        <w:fldChar w:fldCharType="separate"/>
      </w:r>
      <w:r>
        <w:rPr>
          <w:rStyle w:val="38"/>
        </w:rPr>
        <w:t>9.4</w:t>
      </w:r>
      <w:r>
        <w:rPr>
          <w:rStyle w:val="38"/>
          <w:rFonts w:hint="eastAsia"/>
        </w:rPr>
        <w:t xml:space="preserve"> 强化水利工程的监管，充分发挥工程综合效益</w:t>
      </w:r>
      <w:r>
        <w:tab/>
      </w:r>
      <w:r>
        <w:fldChar w:fldCharType="begin"/>
      </w:r>
      <w:r>
        <w:instrText xml:space="preserve"> PAGEREF _Toc62461346 \h </w:instrText>
      </w:r>
      <w:r>
        <w:fldChar w:fldCharType="separate"/>
      </w:r>
      <w:r>
        <w:t>54</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"_Toc62461347" </w:instrText>
      </w:r>
      <w:r>
        <w:fldChar w:fldCharType="separate"/>
      </w:r>
      <w:r>
        <w:rPr>
          <w:rStyle w:val="38"/>
        </w:rPr>
        <w:t>9.5</w:t>
      </w:r>
      <w:r>
        <w:rPr>
          <w:rStyle w:val="38"/>
          <w:rFonts w:hint="eastAsia"/>
        </w:rPr>
        <w:t xml:space="preserve"> 强化水土保持监管，提升水土保持管理和服务水平</w:t>
      </w:r>
      <w:r>
        <w:tab/>
      </w:r>
      <w:r>
        <w:fldChar w:fldCharType="begin"/>
      </w:r>
      <w:r>
        <w:instrText xml:space="preserve"> PAGEREF _Toc62461347 \h </w:instrText>
      </w:r>
      <w:r>
        <w:fldChar w:fldCharType="separate"/>
      </w:r>
      <w:r>
        <w:t>54</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"_Toc62461348" </w:instrText>
      </w:r>
      <w:r>
        <w:fldChar w:fldCharType="separate"/>
      </w:r>
      <w:r>
        <w:rPr>
          <w:rStyle w:val="38"/>
        </w:rPr>
        <w:t>9.6</w:t>
      </w:r>
      <w:r>
        <w:rPr>
          <w:rStyle w:val="38"/>
          <w:rFonts w:hint="eastAsia"/>
        </w:rPr>
        <w:t xml:space="preserve"> 强化水安全风险管控，提高应急处置能力</w:t>
      </w:r>
      <w:r>
        <w:tab/>
      </w:r>
      <w:r>
        <w:fldChar w:fldCharType="begin"/>
      </w:r>
      <w:r>
        <w:instrText xml:space="preserve"> PAGEREF _Toc62461348 \h </w:instrText>
      </w:r>
      <w:r>
        <w:fldChar w:fldCharType="separate"/>
      </w:r>
      <w:r>
        <w:t>55</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"_Toc62461349" </w:instrText>
      </w:r>
      <w:r>
        <w:fldChar w:fldCharType="separate"/>
      </w:r>
      <w:r>
        <w:rPr>
          <w:rStyle w:val="38"/>
        </w:rPr>
        <w:t>9.7</w:t>
      </w:r>
      <w:r>
        <w:rPr>
          <w:rStyle w:val="38"/>
          <w:rFonts w:hint="eastAsia"/>
        </w:rPr>
        <w:t xml:space="preserve"> 强化水行政执法，维护水法规权威</w:t>
      </w:r>
      <w:r>
        <w:tab/>
      </w:r>
      <w:r>
        <w:fldChar w:fldCharType="begin"/>
      </w:r>
      <w:r>
        <w:instrText xml:space="preserve"> PAGEREF _Toc62461349 \h </w:instrText>
      </w:r>
      <w:r>
        <w:fldChar w:fldCharType="separate"/>
      </w:r>
      <w:r>
        <w:t>55</w:t>
      </w:r>
      <w:r>
        <w:fldChar w:fldCharType="end"/>
      </w:r>
      <w:r>
        <w:fldChar w:fldCharType="end"/>
      </w:r>
    </w:p>
    <w:p>
      <w:pPr>
        <w:pStyle w:val="24"/>
        <w:tabs>
          <w:tab w:val="left" w:pos="591"/>
          <w:tab w:val="right" w:leader="dot" w:pos="9060"/>
        </w:tabs>
        <w:rPr>
          <w:rFonts w:asciiTheme="minorHAnsi" w:hAnsiTheme="minorHAnsi" w:eastAsiaTheme="minorEastAsia" w:cstheme="minorBidi"/>
          <w:bCs w:val="0"/>
          <w:caps w:val="0"/>
          <w:color w:val="auto"/>
          <w:sz w:val="21"/>
        </w:rPr>
      </w:pPr>
      <w:r>
        <w:fldChar w:fldCharType="begin"/>
      </w:r>
      <w:r>
        <w:instrText xml:space="preserve"> HYPERLINK \l "_Toc62461350" </w:instrText>
      </w:r>
      <w:r>
        <w:fldChar w:fldCharType="separate"/>
      </w:r>
      <w:r>
        <w:rPr>
          <w:rStyle w:val="38"/>
        </w:rPr>
        <w:t>10</w:t>
      </w:r>
      <w:r>
        <w:rPr>
          <w:rFonts w:asciiTheme="minorHAnsi" w:hAnsiTheme="minorHAnsi" w:eastAsiaTheme="minorEastAsia" w:cstheme="minorBidi"/>
          <w:bCs w:val="0"/>
          <w:caps w:val="0"/>
          <w:color w:val="auto"/>
          <w:sz w:val="21"/>
        </w:rPr>
        <w:tab/>
      </w:r>
      <w:r>
        <w:rPr>
          <w:rStyle w:val="38"/>
          <w:rFonts w:hint="eastAsia"/>
        </w:rPr>
        <w:t>投资规模匡算</w:t>
      </w:r>
      <w:r>
        <w:tab/>
      </w:r>
      <w:r>
        <w:fldChar w:fldCharType="begin"/>
      </w:r>
      <w:r>
        <w:instrText xml:space="preserve"> PAGEREF _Toc62461350 \h </w:instrText>
      </w:r>
      <w:r>
        <w:fldChar w:fldCharType="separate"/>
      </w:r>
      <w:r>
        <w:t>56</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"_Toc62461351" </w:instrText>
      </w:r>
      <w:r>
        <w:fldChar w:fldCharType="separate"/>
      </w:r>
      <w:r>
        <w:rPr>
          <w:rStyle w:val="38"/>
        </w:rPr>
        <w:t>10.1</w:t>
      </w:r>
      <w:r>
        <w:rPr>
          <w:rStyle w:val="38"/>
          <w:rFonts w:hint="eastAsia"/>
        </w:rPr>
        <w:t xml:space="preserve"> 匡算依据</w:t>
      </w:r>
      <w:r>
        <w:tab/>
      </w:r>
      <w:r>
        <w:fldChar w:fldCharType="begin"/>
      </w:r>
      <w:r>
        <w:instrText xml:space="preserve"> PAGEREF _Toc62461351 \h </w:instrText>
      </w:r>
      <w:r>
        <w:fldChar w:fldCharType="separate"/>
      </w:r>
      <w:r>
        <w:t>56</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"_Toc62461352" </w:instrText>
      </w:r>
      <w:r>
        <w:fldChar w:fldCharType="separate"/>
      </w:r>
      <w:r>
        <w:rPr>
          <w:rStyle w:val="38"/>
        </w:rPr>
        <w:t>10.2</w:t>
      </w:r>
      <w:r>
        <w:rPr>
          <w:rStyle w:val="38"/>
          <w:rFonts w:hint="eastAsia"/>
        </w:rPr>
        <w:t xml:space="preserve"> 投资规模匡算</w:t>
      </w:r>
      <w:r>
        <w:tab/>
      </w:r>
      <w:r>
        <w:fldChar w:fldCharType="begin"/>
      </w:r>
      <w:r>
        <w:instrText xml:space="preserve"> PAGEREF _Toc62461352 \h </w:instrText>
      </w:r>
      <w:r>
        <w:fldChar w:fldCharType="separate"/>
      </w:r>
      <w:r>
        <w:t>56</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"_Toc62461353" </w:instrText>
      </w:r>
      <w:r>
        <w:fldChar w:fldCharType="separate"/>
      </w:r>
      <w:r>
        <w:rPr>
          <w:rStyle w:val="38"/>
        </w:rPr>
        <w:t>10.3</w:t>
      </w:r>
      <w:r>
        <w:rPr>
          <w:rStyle w:val="38"/>
          <w:rFonts w:hint="eastAsia" w:ascii="Times New Roman" w:hAnsi="Times New Roman"/>
        </w:rPr>
        <w:t xml:space="preserve"> 规划效果分析</w:t>
      </w:r>
      <w:r>
        <w:tab/>
      </w:r>
      <w:r>
        <w:fldChar w:fldCharType="begin"/>
      </w:r>
      <w:r>
        <w:instrText xml:space="preserve"> PAGEREF _Toc62461353 \h </w:instrText>
      </w:r>
      <w:r>
        <w:fldChar w:fldCharType="separate"/>
      </w:r>
      <w:r>
        <w:t>57</w:t>
      </w:r>
      <w:r>
        <w:fldChar w:fldCharType="end"/>
      </w:r>
      <w:r>
        <w:fldChar w:fldCharType="end"/>
      </w:r>
    </w:p>
    <w:p>
      <w:pPr>
        <w:pStyle w:val="24"/>
        <w:tabs>
          <w:tab w:val="left" w:pos="591"/>
          <w:tab w:val="right" w:leader="dot" w:pos="9060"/>
        </w:tabs>
        <w:rPr>
          <w:rFonts w:asciiTheme="minorHAnsi" w:hAnsiTheme="minorHAnsi" w:eastAsiaTheme="minorEastAsia" w:cstheme="minorBidi"/>
          <w:bCs w:val="0"/>
          <w:caps w:val="0"/>
          <w:color w:val="auto"/>
          <w:sz w:val="21"/>
        </w:rPr>
      </w:pPr>
      <w:r>
        <w:fldChar w:fldCharType="begin"/>
      </w:r>
      <w:r>
        <w:instrText xml:space="preserve"> HYPERLINK \l "_Toc62461354" </w:instrText>
      </w:r>
      <w:r>
        <w:fldChar w:fldCharType="separate"/>
      </w:r>
      <w:r>
        <w:rPr>
          <w:rStyle w:val="38"/>
          <w:kern w:val="44"/>
        </w:rPr>
        <w:t>11</w:t>
      </w:r>
      <w:r>
        <w:rPr>
          <w:rFonts w:asciiTheme="minorHAnsi" w:hAnsiTheme="minorHAnsi" w:eastAsiaTheme="minorEastAsia" w:cstheme="minorBidi"/>
          <w:bCs w:val="0"/>
          <w:caps w:val="0"/>
          <w:color w:val="auto"/>
          <w:sz w:val="21"/>
        </w:rPr>
        <w:tab/>
      </w:r>
      <w:r>
        <w:rPr>
          <w:rStyle w:val="38"/>
          <w:rFonts w:hint="eastAsia" w:ascii="Times New Roman" w:hAnsi="Times New Roman"/>
          <w:kern w:val="44"/>
        </w:rPr>
        <w:t>风险评估</w:t>
      </w:r>
      <w:r>
        <w:tab/>
      </w:r>
      <w:r>
        <w:fldChar w:fldCharType="begin"/>
      </w:r>
      <w:r>
        <w:instrText xml:space="preserve"> PAGEREF _Toc62461354 \h </w:instrText>
      </w:r>
      <w:r>
        <w:fldChar w:fldCharType="separate"/>
      </w:r>
      <w:r>
        <w:t>59</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"_Toc62461355" </w:instrText>
      </w:r>
      <w:r>
        <w:fldChar w:fldCharType="separate"/>
      </w:r>
      <w:r>
        <w:rPr>
          <w:rStyle w:val="38"/>
        </w:rPr>
        <w:t>11.1</w:t>
      </w:r>
      <w:r>
        <w:rPr>
          <w:rStyle w:val="38"/>
          <w:rFonts w:hint="eastAsia" w:ascii="Times New Roman" w:hAnsi="Times New Roman"/>
        </w:rPr>
        <w:t xml:space="preserve"> 风险因素</w:t>
      </w:r>
      <w:r>
        <w:tab/>
      </w:r>
      <w:r>
        <w:fldChar w:fldCharType="begin"/>
      </w:r>
      <w:r>
        <w:instrText xml:space="preserve"> PAGEREF _Toc62461355 \h </w:instrText>
      </w:r>
      <w:r>
        <w:fldChar w:fldCharType="separate"/>
      </w:r>
      <w:r>
        <w:t>59</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"_Toc62461356" </w:instrText>
      </w:r>
      <w:r>
        <w:fldChar w:fldCharType="separate"/>
      </w:r>
      <w:r>
        <w:rPr>
          <w:rStyle w:val="38"/>
        </w:rPr>
        <w:t>11.2</w:t>
      </w:r>
      <w:r>
        <w:rPr>
          <w:rStyle w:val="38"/>
          <w:rFonts w:hint="eastAsia" w:ascii="Times New Roman" w:hAnsi="Times New Roman"/>
        </w:rPr>
        <w:t xml:space="preserve"> 风险应对措施</w:t>
      </w:r>
      <w:r>
        <w:tab/>
      </w:r>
      <w:r>
        <w:fldChar w:fldCharType="begin"/>
      </w:r>
      <w:r>
        <w:instrText xml:space="preserve"> PAGEREF _Toc62461356 \h </w:instrText>
      </w:r>
      <w:r>
        <w:fldChar w:fldCharType="separate"/>
      </w:r>
      <w:r>
        <w:t>60</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"_Toc62461357" </w:instrText>
      </w:r>
      <w:r>
        <w:fldChar w:fldCharType="separate"/>
      </w:r>
      <w:r>
        <w:rPr>
          <w:rStyle w:val="38"/>
        </w:rPr>
        <w:t>11.3</w:t>
      </w:r>
      <w:r>
        <w:rPr>
          <w:rStyle w:val="38"/>
          <w:rFonts w:hint="eastAsia" w:ascii="Times New Roman" w:hAnsi="Times New Roman"/>
        </w:rPr>
        <w:t xml:space="preserve"> 风险等级</w:t>
      </w:r>
      <w:r>
        <w:tab/>
      </w:r>
      <w:r>
        <w:fldChar w:fldCharType="begin"/>
      </w:r>
      <w:r>
        <w:instrText xml:space="preserve"> PAGEREF _Toc62461357 \h </w:instrText>
      </w:r>
      <w:r>
        <w:fldChar w:fldCharType="separate"/>
      </w:r>
      <w:r>
        <w:t>61</w:t>
      </w:r>
      <w:r>
        <w:fldChar w:fldCharType="end"/>
      </w:r>
      <w:r>
        <w:fldChar w:fldCharType="end"/>
      </w:r>
    </w:p>
    <w:p>
      <w:pPr>
        <w:pStyle w:val="24"/>
        <w:tabs>
          <w:tab w:val="left" w:pos="591"/>
          <w:tab w:val="right" w:leader="dot" w:pos="9060"/>
        </w:tabs>
        <w:rPr>
          <w:rFonts w:asciiTheme="minorHAnsi" w:hAnsiTheme="minorHAnsi" w:eastAsiaTheme="minorEastAsia" w:cstheme="minorBidi"/>
          <w:bCs w:val="0"/>
          <w:caps w:val="0"/>
          <w:color w:val="auto"/>
          <w:sz w:val="21"/>
        </w:rPr>
      </w:pPr>
      <w:r>
        <w:fldChar w:fldCharType="begin"/>
      </w:r>
      <w:r>
        <w:instrText xml:space="preserve"> HYPERLINK \l "_Toc62461358" </w:instrText>
      </w:r>
      <w:r>
        <w:fldChar w:fldCharType="separate"/>
      </w:r>
      <w:r>
        <w:rPr>
          <w:rStyle w:val="38"/>
          <w:kern w:val="44"/>
        </w:rPr>
        <w:t>12</w:t>
      </w:r>
      <w:r>
        <w:rPr>
          <w:rFonts w:asciiTheme="minorHAnsi" w:hAnsiTheme="minorHAnsi" w:eastAsiaTheme="minorEastAsia" w:cstheme="minorBidi"/>
          <w:bCs w:val="0"/>
          <w:caps w:val="0"/>
          <w:color w:val="auto"/>
          <w:sz w:val="21"/>
        </w:rPr>
        <w:tab/>
      </w:r>
      <w:r>
        <w:rPr>
          <w:rStyle w:val="38"/>
          <w:rFonts w:hint="eastAsia" w:ascii="Times New Roman" w:hAnsi="Times New Roman"/>
          <w:kern w:val="44"/>
        </w:rPr>
        <w:t>保障措施</w:t>
      </w:r>
      <w:r>
        <w:tab/>
      </w:r>
      <w:r>
        <w:fldChar w:fldCharType="begin"/>
      </w:r>
      <w:r>
        <w:instrText xml:space="preserve"> PAGEREF _Toc62461358 \h </w:instrText>
      </w:r>
      <w:r>
        <w:fldChar w:fldCharType="separate"/>
      </w:r>
      <w:r>
        <w:t>62</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"_Toc62461359" </w:instrText>
      </w:r>
      <w:r>
        <w:fldChar w:fldCharType="separate"/>
      </w:r>
      <w:r>
        <w:rPr>
          <w:rStyle w:val="38"/>
        </w:rPr>
        <w:t>12.1</w:t>
      </w:r>
      <w:r>
        <w:rPr>
          <w:rStyle w:val="38"/>
          <w:rFonts w:hint="eastAsia" w:ascii="Times New Roman" w:hAnsi="Times New Roman"/>
        </w:rPr>
        <w:t xml:space="preserve"> 强化组织领导</w:t>
      </w:r>
      <w:r>
        <w:tab/>
      </w:r>
      <w:r>
        <w:fldChar w:fldCharType="begin"/>
      </w:r>
      <w:r>
        <w:instrText xml:space="preserve"> PAGEREF _Toc62461359 \h </w:instrText>
      </w:r>
      <w:r>
        <w:fldChar w:fldCharType="separate"/>
      </w:r>
      <w:r>
        <w:t>62</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"_Toc62461360" </w:instrText>
      </w:r>
      <w:r>
        <w:fldChar w:fldCharType="separate"/>
      </w:r>
      <w:r>
        <w:rPr>
          <w:rStyle w:val="38"/>
        </w:rPr>
        <w:t>12.2</w:t>
      </w:r>
      <w:r>
        <w:rPr>
          <w:rStyle w:val="38"/>
          <w:rFonts w:hint="eastAsia" w:ascii="Times New Roman" w:hAnsi="Times New Roman"/>
        </w:rPr>
        <w:t xml:space="preserve"> 明确工作职责</w:t>
      </w:r>
      <w:r>
        <w:tab/>
      </w:r>
      <w:r>
        <w:fldChar w:fldCharType="begin"/>
      </w:r>
      <w:r>
        <w:instrText xml:space="preserve"> PAGEREF _Toc62461360 \h </w:instrText>
      </w:r>
      <w:r>
        <w:fldChar w:fldCharType="separate"/>
      </w:r>
      <w:r>
        <w:t>62</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"_Toc62461361" </w:instrText>
      </w:r>
      <w:r>
        <w:fldChar w:fldCharType="separate"/>
      </w:r>
      <w:r>
        <w:rPr>
          <w:rStyle w:val="38"/>
        </w:rPr>
        <w:t>12.3</w:t>
      </w:r>
      <w:r>
        <w:rPr>
          <w:rStyle w:val="38"/>
          <w:rFonts w:hint="eastAsia" w:ascii="Times New Roman" w:hAnsi="Times New Roman"/>
        </w:rPr>
        <w:t xml:space="preserve"> 加大资金投入</w:t>
      </w:r>
      <w:r>
        <w:tab/>
      </w:r>
      <w:r>
        <w:fldChar w:fldCharType="begin"/>
      </w:r>
      <w:r>
        <w:instrText xml:space="preserve"> PAGEREF _Toc62461361 \h </w:instrText>
      </w:r>
      <w:r>
        <w:fldChar w:fldCharType="separate"/>
      </w:r>
      <w:r>
        <w:t>63</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"_Toc62461362" </w:instrText>
      </w:r>
      <w:r>
        <w:fldChar w:fldCharType="separate"/>
      </w:r>
      <w:r>
        <w:rPr>
          <w:rStyle w:val="38"/>
        </w:rPr>
        <w:t>12.4</w:t>
      </w:r>
      <w:r>
        <w:rPr>
          <w:rStyle w:val="38"/>
          <w:rFonts w:hint="eastAsia" w:ascii="Times New Roman" w:hAnsi="Times New Roman"/>
        </w:rPr>
        <w:t xml:space="preserve"> 加强前期工作</w:t>
      </w:r>
      <w:r>
        <w:tab/>
      </w:r>
      <w:r>
        <w:fldChar w:fldCharType="begin"/>
      </w:r>
      <w:r>
        <w:instrText xml:space="preserve"> PAGEREF _Toc62461362 \h </w:instrText>
      </w:r>
      <w:r>
        <w:fldChar w:fldCharType="separate"/>
      </w:r>
      <w:r>
        <w:t>63</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"_Toc62461363" </w:instrText>
      </w:r>
      <w:r>
        <w:fldChar w:fldCharType="separate"/>
      </w:r>
      <w:r>
        <w:rPr>
          <w:rStyle w:val="38"/>
        </w:rPr>
        <w:t>12.5</w:t>
      </w:r>
      <w:r>
        <w:rPr>
          <w:rStyle w:val="38"/>
          <w:rFonts w:hint="eastAsia" w:ascii="Times New Roman" w:hAnsi="Times New Roman"/>
        </w:rPr>
        <w:t xml:space="preserve"> 加强监管考核</w:t>
      </w:r>
      <w:r>
        <w:tab/>
      </w:r>
      <w:r>
        <w:fldChar w:fldCharType="begin"/>
      </w:r>
      <w:r>
        <w:instrText xml:space="preserve"> PAGEREF _Toc62461363 \h </w:instrText>
      </w:r>
      <w:r>
        <w:fldChar w:fldCharType="separate"/>
      </w:r>
      <w:r>
        <w:t>64</w:t>
      </w:r>
      <w:r>
        <w:fldChar w:fldCharType="end"/>
      </w:r>
      <w:r>
        <w:fldChar w:fldCharType="end"/>
      </w:r>
    </w:p>
    <w:p>
      <w:pPr>
        <w:pStyle w:val="27"/>
        <w:tabs>
          <w:tab w:val="right" w:leader="dot" w:pos="9060"/>
        </w:tabs>
        <w:ind w:firstLine="480"/>
        <w:rPr>
          <w:rFonts w:asciiTheme="minorHAnsi" w:hAnsiTheme="minorHAnsi" w:eastAsiaTheme="minorEastAsia" w:cstheme="minorBidi"/>
          <w:bCs w:val="0"/>
          <w:smallCaps w:val="0"/>
          <w:color w:val="auto"/>
          <w:sz w:val="21"/>
        </w:rPr>
      </w:pPr>
      <w:r>
        <w:fldChar w:fldCharType="begin"/>
      </w:r>
      <w:r>
        <w:instrText xml:space="preserve"> HYPERLINK \l "_Toc62461364" </w:instrText>
      </w:r>
      <w:r>
        <w:fldChar w:fldCharType="separate"/>
      </w:r>
      <w:r>
        <w:rPr>
          <w:rStyle w:val="38"/>
        </w:rPr>
        <w:t>12.6</w:t>
      </w:r>
      <w:r>
        <w:rPr>
          <w:rStyle w:val="38"/>
          <w:rFonts w:hint="eastAsia" w:ascii="Times New Roman" w:hAnsi="Times New Roman"/>
        </w:rPr>
        <w:t xml:space="preserve"> 营造良好氛围</w:t>
      </w:r>
      <w:r>
        <w:tab/>
      </w:r>
      <w:r>
        <w:fldChar w:fldCharType="begin"/>
      </w:r>
      <w:r>
        <w:instrText xml:space="preserve"> PAGEREF _Toc62461364 \h </w:instrText>
      </w:r>
      <w:r>
        <w:fldChar w:fldCharType="separate"/>
      </w:r>
      <w:r>
        <w:t>64</w:t>
      </w:r>
      <w:r>
        <w:fldChar w:fldCharType="end"/>
      </w:r>
      <w:r>
        <w:fldChar w:fldCharType="end"/>
      </w:r>
    </w:p>
    <w:p>
      <w:pPr>
        <w:pStyle w:val="3"/>
        <w:ind w:firstLine="560"/>
      </w:pPr>
      <w:r>
        <w:rPr>
          <w:rFonts w:ascii="Arial" w:hAnsi="Arial" w:eastAsia="黑体"/>
          <w:color w:val="000000"/>
          <w:spacing w:val="0"/>
          <w:szCs w:val="22"/>
        </w:rPr>
        <w:fldChar w:fldCharType="end"/>
      </w:r>
    </w:p>
    <w:p>
      <w:pPr>
        <w:pStyle w:val="3"/>
        <w:ind w:firstLine="576"/>
      </w:pPr>
    </w:p>
    <w:p>
      <w:pPr>
        <w:pStyle w:val="3"/>
        <w:ind w:firstLine="576"/>
      </w:pPr>
    </w:p>
    <w:p>
      <w:pPr>
        <w:widowControl/>
        <w:jc w:val="left"/>
        <w:rPr>
          <w:rFonts w:ascii="Times New Roman" w:hAnsi="Times New Roman" w:eastAsia="仿宋_GB2312"/>
          <w:color w:val="auto"/>
          <w:spacing w:val="4"/>
          <w:sz w:val="28"/>
          <w:szCs w:val="28"/>
        </w:rPr>
      </w:pPr>
      <w:r>
        <w:br w:type="page"/>
      </w:r>
    </w:p>
    <w:p>
      <w:pPr>
        <w:pStyle w:val="3"/>
        <w:ind w:firstLine="576"/>
      </w:pPr>
    </w:p>
    <w:p>
      <w:pPr>
        <w:widowControl/>
        <w:jc w:val="left"/>
        <w:rPr>
          <w:rFonts w:ascii="Times New Roman" w:hAnsi="Times New Roman" w:eastAsia="仿宋_GB2312"/>
          <w:color w:val="auto"/>
          <w:spacing w:val="4"/>
          <w:sz w:val="28"/>
          <w:szCs w:val="28"/>
        </w:rPr>
      </w:pPr>
      <w:r>
        <w:br w:type="page"/>
      </w:r>
    </w:p>
    <w:p>
      <w:pPr>
        <w:pStyle w:val="3"/>
        <w:ind w:firstLine="576"/>
        <w:sectPr>
          <w:headerReference r:id="rId7" w:type="default"/>
          <w:footerReference r:id="rId9" w:type="default"/>
          <w:headerReference r:id="rId8" w:type="even"/>
          <w:pgSz w:w="11906" w:h="16838"/>
          <w:pgMar w:top="1418" w:right="1418" w:bottom="1418" w:left="1418" w:header="851" w:footer="992" w:gutter="0"/>
          <w:pgNumType w:fmt="lowerRoman" w:start="1"/>
          <w:cols w:space="425" w:num="1"/>
          <w:docGrid w:type="linesAndChars" w:linePitch="312" w:charSpace="0"/>
        </w:sectPr>
      </w:pPr>
    </w:p>
    <w:p>
      <w:pPr>
        <w:pageBreakBefore/>
        <w:spacing w:before="400" w:line="360" w:lineRule="auto"/>
        <w:jc w:val="center"/>
        <w:outlineLvl w:val="0"/>
        <w:rPr>
          <w:rFonts w:ascii="Times New Roman" w:hAnsi="Times New Roman" w:eastAsia="黑体"/>
          <w:color w:val="auto"/>
          <w:kern w:val="44"/>
          <w:sz w:val="32"/>
          <w:szCs w:val="36"/>
        </w:rPr>
      </w:pPr>
      <w:bookmarkStart w:id="1" w:name="_Toc62461298"/>
      <w:bookmarkStart w:id="2" w:name="_Toc43754869"/>
      <w:r>
        <w:rPr>
          <w:rFonts w:ascii="Times New Roman" w:hAnsi="Times New Roman" w:eastAsia="黑体"/>
          <w:color w:val="auto"/>
          <w:kern w:val="44"/>
          <w:sz w:val="32"/>
          <w:szCs w:val="36"/>
        </w:rPr>
        <w:t>前 言</w:t>
      </w:r>
      <w:bookmarkEnd w:id="1"/>
      <w:bookmarkEnd w:id="2"/>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水是基础性自然资源和战略性经济资源，以水资源可持续利用保障经济社会可持续发展，是关系国计民生的大事。党的十九大把坚持人与自然和谐共生纳入新时代坚持和发展中国特色社会主义的基本方略，提出实施统筹水资源、水生态、水环境、水灾害治理的国家水安全战略，为建成富强民主文明和谐美丽的社会主义现代化强国提供有力支撑。“十四五”时期是我国“两个一百年”奋斗目标的历史交汇期，也是推动</w:t>
      </w:r>
      <w:r>
        <w:rPr>
          <w:rFonts w:hint="eastAsia" w:ascii="Times New Roman" w:hAnsi="Times New Roman" w:eastAsia="仿宋_GB2312"/>
          <w:color w:val="auto"/>
          <w:spacing w:val="4"/>
          <w:sz w:val="28"/>
          <w:szCs w:val="28"/>
        </w:rPr>
        <w:t>勐海</w:t>
      </w:r>
      <w:r>
        <w:rPr>
          <w:rFonts w:ascii="Times New Roman" w:hAnsi="Times New Roman" w:eastAsia="仿宋_GB2312"/>
          <w:color w:val="auto"/>
          <w:spacing w:val="4"/>
          <w:sz w:val="28"/>
          <w:szCs w:val="28"/>
        </w:rPr>
        <w:t>县高质量跨越发展的重要机遇期。勐海县水利改革发展已取得一定成绩，但与高质量跨越式发展的要求还有很大差距，迫切需要树立新的治水理念、补齐发展短板、强化监督管理，努力提升水安全保障能力，大力推进水生态文明建设，为勐海县社会主义现代化建设征程开好局、起好步提供保障和支撑。</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2020年是“十四五”规划编制的关键之年。为全面科学评估勐海县“十三五”水利改革发展规划实施情况，超前研究、系统谋划“十四五”水利发展的思路目标、重点任务、建设布局、重大项目和重要举措，为勐海县社会主义现代化建设新征程开好局、起好步，提供水安全保障，并力争勐海县更多重点水利工程项目进入省“十四五”规划，县水务局与县发展改革委、州水务局初步衔接的基础上，组织开展《勐海县“十四五”水安全保障规划》编制工作。勐海县“十四五”水安全保障规划报告按照践行“水利工程补短板、水利行业强监管”的水利改革发展总基调的要求，参照《云南省“十四五”水安全保障规划编制技术大纲》结合勐海县情水情编制，在规划背景和总体要求基础上，规划内容分为九大部分，具体包括推进节水型社会建设、防洪安全体系建设</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供</w:t>
      </w:r>
      <w:r>
        <w:rPr>
          <w:rFonts w:hint="eastAsia" w:ascii="Times New Roman" w:hAnsi="Times New Roman" w:eastAsia="仿宋_GB2312"/>
          <w:color w:val="auto"/>
          <w:spacing w:val="4"/>
          <w:sz w:val="28"/>
          <w:szCs w:val="28"/>
        </w:rPr>
        <w:t>水安全</w:t>
      </w:r>
      <w:r>
        <w:rPr>
          <w:rFonts w:ascii="Times New Roman" w:hAnsi="Times New Roman" w:eastAsia="仿宋_GB2312"/>
          <w:color w:val="auto"/>
          <w:spacing w:val="4"/>
          <w:sz w:val="28"/>
          <w:szCs w:val="28"/>
        </w:rPr>
        <w:t>保障体系建设、水生态体系建设</w:t>
      </w:r>
      <w:r>
        <w:rPr>
          <w:rFonts w:hint="eastAsia" w:ascii="Times New Roman" w:hAnsi="Times New Roman" w:eastAsia="仿宋_GB2312"/>
          <w:color w:val="auto"/>
          <w:spacing w:val="4"/>
          <w:sz w:val="28"/>
          <w:szCs w:val="28"/>
        </w:rPr>
        <w:t>和</w:t>
      </w:r>
      <w:r>
        <w:rPr>
          <w:rFonts w:ascii="Times New Roman" w:hAnsi="Times New Roman" w:eastAsia="仿宋_GB2312"/>
          <w:color w:val="auto"/>
          <w:spacing w:val="4"/>
          <w:sz w:val="28"/>
          <w:szCs w:val="28"/>
        </w:rPr>
        <w:t>智慧水利平台体系建设</w:t>
      </w:r>
      <w:r>
        <w:rPr>
          <w:rFonts w:hint="eastAsia" w:ascii="Times New Roman" w:hAnsi="Times New Roman" w:eastAsia="仿宋_GB2312"/>
          <w:color w:val="auto"/>
          <w:spacing w:val="4"/>
          <w:sz w:val="28"/>
          <w:szCs w:val="28"/>
        </w:rPr>
        <w:t>。</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勐海县</w:t>
      </w:r>
      <w:r>
        <w:rPr>
          <w:rFonts w:hint="eastAsia" w:ascii="Times New Roman" w:hAnsi="Times New Roman" w:eastAsia="仿宋_GB2312"/>
          <w:color w:val="auto"/>
          <w:spacing w:val="4"/>
          <w:sz w:val="28"/>
          <w:szCs w:val="28"/>
        </w:rPr>
        <w:t>“十四五”水安全保障规划项目包含防洪、供水、水生态和智慧水利四大类，共计112</w:t>
      </w:r>
      <w:r>
        <w:rPr>
          <w:rFonts w:ascii="Times New Roman" w:hAnsi="Times New Roman" w:eastAsia="仿宋_GB2312"/>
          <w:color w:val="auto"/>
          <w:spacing w:val="4"/>
          <w:sz w:val="28"/>
          <w:szCs w:val="28"/>
        </w:rPr>
        <w:t>项，总投资</w:t>
      </w:r>
      <w:r>
        <w:rPr>
          <w:rFonts w:hint="eastAsia" w:ascii="Times New Roman" w:hAnsi="Times New Roman" w:eastAsia="仿宋_GB2312"/>
          <w:color w:val="auto"/>
          <w:spacing w:val="4"/>
          <w:sz w:val="28"/>
          <w:szCs w:val="28"/>
        </w:rPr>
        <w:t>101.04亿</w:t>
      </w:r>
      <w:r>
        <w:rPr>
          <w:rFonts w:ascii="Times New Roman" w:hAnsi="Times New Roman" w:eastAsia="仿宋_GB2312"/>
          <w:color w:val="auto"/>
          <w:spacing w:val="4"/>
          <w:sz w:val="28"/>
          <w:szCs w:val="28"/>
        </w:rPr>
        <w:t>元（</w:t>
      </w:r>
      <w:r>
        <w:rPr>
          <w:rFonts w:hint="eastAsia" w:ascii="Times New Roman" w:hAnsi="Times New Roman" w:eastAsia="仿宋_GB2312"/>
          <w:color w:val="auto"/>
          <w:spacing w:val="4"/>
          <w:sz w:val="28"/>
          <w:szCs w:val="28"/>
        </w:rPr>
        <w:t>含“十三五”结转项目</w:t>
      </w:r>
      <w:r>
        <w:rPr>
          <w:rFonts w:ascii="Times New Roman" w:hAnsi="Times New Roman" w:eastAsia="仿宋_GB2312"/>
          <w:color w:val="auto"/>
          <w:spacing w:val="4"/>
          <w:sz w:val="28"/>
          <w:szCs w:val="28"/>
        </w:rPr>
        <w:t>）。</w:t>
      </w:r>
      <w:r>
        <w:rPr>
          <w:rFonts w:hint="eastAsia" w:ascii="Times New Roman" w:hAnsi="Times New Roman" w:eastAsia="仿宋_GB2312"/>
          <w:color w:val="auto"/>
          <w:spacing w:val="4"/>
          <w:sz w:val="28"/>
          <w:szCs w:val="28"/>
        </w:rPr>
        <w:t>其中防洪类项目包括中小河流治理、山洪沟治理以及病险水库（闸、坝塘）除险加固，项目合计37个，总投资8.99</w:t>
      </w:r>
      <w:r>
        <w:rPr>
          <w:rFonts w:ascii="Times New Roman" w:hAnsi="Times New Roman" w:eastAsia="仿宋_GB2312"/>
          <w:color w:val="auto"/>
          <w:spacing w:val="4"/>
          <w:sz w:val="28"/>
          <w:szCs w:val="28"/>
        </w:rPr>
        <w:t xml:space="preserve"> </w:t>
      </w:r>
      <w:r>
        <w:rPr>
          <w:rFonts w:hint="eastAsia" w:ascii="Times New Roman" w:hAnsi="Times New Roman" w:eastAsia="仿宋_GB2312"/>
          <w:color w:val="auto"/>
          <w:spacing w:val="4"/>
          <w:sz w:val="28"/>
          <w:szCs w:val="28"/>
        </w:rPr>
        <w:t>亿元，占规划总投资的8.9</w:t>
      </w:r>
      <w:r>
        <w:rPr>
          <w:rFonts w:ascii="Times New Roman" w:hAnsi="Times New Roman" w:eastAsia="仿宋_GB2312"/>
          <w:color w:val="auto"/>
          <w:spacing w:val="4"/>
          <w:sz w:val="28"/>
          <w:szCs w:val="28"/>
        </w:rPr>
        <w:t>%</w:t>
      </w:r>
      <w:r>
        <w:rPr>
          <w:rFonts w:hint="eastAsia" w:ascii="Times New Roman" w:hAnsi="Times New Roman" w:eastAsia="仿宋_GB2312"/>
          <w:color w:val="auto"/>
          <w:spacing w:val="4"/>
          <w:sz w:val="28"/>
          <w:szCs w:val="28"/>
        </w:rPr>
        <w:t>；供水类项目包括重点水源工程、重点水系连通工程、新建中型灌区、乡镇抗旱水源工程、大型灌区续建配套与现代化改造、农村饮水安全巩固提升工程以及水库清淤增效工程，项目合计56</w:t>
      </w:r>
      <w:r>
        <w:rPr>
          <w:rFonts w:ascii="Times New Roman" w:hAnsi="Times New Roman" w:eastAsia="仿宋_GB2312"/>
          <w:color w:val="auto"/>
          <w:spacing w:val="4"/>
          <w:sz w:val="28"/>
          <w:szCs w:val="28"/>
        </w:rPr>
        <w:t xml:space="preserve"> </w:t>
      </w:r>
      <w:r>
        <w:rPr>
          <w:rFonts w:hint="eastAsia" w:ascii="Times New Roman" w:hAnsi="Times New Roman" w:eastAsia="仿宋_GB2312"/>
          <w:color w:val="auto"/>
          <w:spacing w:val="4"/>
          <w:sz w:val="28"/>
          <w:szCs w:val="28"/>
        </w:rPr>
        <w:t>个，总投资63.13</w:t>
      </w:r>
      <w:r>
        <w:rPr>
          <w:rFonts w:ascii="Times New Roman" w:hAnsi="Times New Roman" w:eastAsia="仿宋_GB2312"/>
          <w:color w:val="auto"/>
          <w:spacing w:val="4"/>
          <w:sz w:val="28"/>
          <w:szCs w:val="28"/>
        </w:rPr>
        <w:t xml:space="preserve"> </w:t>
      </w:r>
      <w:r>
        <w:rPr>
          <w:rFonts w:hint="eastAsia" w:ascii="Times New Roman" w:hAnsi="Times New Roman" w:eastAsia="仿宋_GB2312"/>
          <w:color w:val="auto"/>
          <w:spacing w:val="4"/>
          <w:sz w:val="28"/>
          <w:szCs w:val="28"/>
        </w:rPr>
        <w:t>亿元，占规划总投资的62.5</w:t>
      </w:r>
      <w:r>
        <w:rPr>
          <w:rFonts w:ascii="Times New Roman" w:hAnsi="Times New Roman" w:eastAsia="仿宋_GB2312"/>
          <w:color w:val="auto"/>
          <w:spacing w:val="4"/>
          <w:sz w:val="28"/>
          <w:szCs w:val="28"/>
        </w:rPr>
        <w:t>%</w:t>
      </w:r>
      <w:r>
        <w:rPr>
          <w:rFonts w:hint="eastAsia" w:ascii="Times New Roman" w:hAnsi="Times New Roman" w:eastAsia="仿宋_GB2312"/>
          <w:color w:val="auto"/>
          <w:spacing w:val="4"/>
          <w:sz w:val="28"/>
          <w:szCs w:val="28"/>
        </w:rPr>
        <w:t>；水生态类项目包括水源涵养与水土保持、重点河湖生态治理与修复以及农村水系综合整治</w:t>
      </w:r>
      <w:r>
        <w:rPr>
          <w:rFonts w:ascii="Times New Roman" w:hAnsi="Times New Roman" w:eastAsia="仿宋_GB2312"/>
          <w:color w:val="auto"/>
          <w:spacing w:val="4"/>
          <w:sz w:val="28"/>
          <w:szCs w:val="28"/>
        </w:rPr>
        <w:t>3</w:t>
      </w:r>
      <w:r>
        <w:rPr>
          <w:rFonts w:hint="eastAsia" w:ascii="Times New Roman" w:hAnsi="Times New Roman" w:eastAsia="仿宋_GB2312"/>
          <w:color w:val="auto"/>
          <w:spacing w:val="4"/>
          <w:sz w:val="28"/>
          <w:szCs w:val="28"/>
        </w:rPr>
        <w:t>类，合计14个项目，投资24.75亿元，占规划总投资的24.5</w:t>
      </w:r>
      <w:r>
        <w:rPr>
          <w:rFonts w:ascii="Times New Roman" w:hAnsi="Times New Roman" w:eastAsia="仿宋_GB2312"/>
          <w:color w:val="auto"/>
          <w:spacing w:val="4"/>
          <w:sz w:val="28"/>
          <w:szCs w:val="28"/>
        </w:rPr>
        <w:t>%</w:t>
      </w:r>
      <w:r>
        <w:rPr>
          <w:rFonts w:hint="eastAsia" w:ascii="Times New Roman" w:hAnsi="Times New Roman" w:eastAsia="仿宋_GB2312"/>
          <w:color w:val="auto"/>
          <w:spacing w:val="4"/>
          <w:sz w:val="28"/>
          <w:szCs w:val="28"/>
        </w:rPr>
        <w:t>；智慧水利类项目5个，总投资4.17亿元，占总投资的4.1</w:t>
      </w:r>
      <w:r>
        <w:rPr>
          <w:rFonts w:ascii="Times New Roman" w:hAnsi="Times New Roman" w:eastAsia="仿宋_GB2312"/>
          <w:color w:val="auto"/>
          <w:spacing w:val="4"/>
          <w:sz w:val="28"/>
          <w:szCs w:val="28"/>
        </w:rPr>
        <w:t>%</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（暂列，需待上级部门明确后再定）。以上</w:t>
      </w:r>
      <w:r>
        <w:rPr>
          <w:rFonts w:hint="eastAsia" w:ascii="Times New Roman" w:hAnsi="Times New Roman" w:eastAsia="仿宋_GB2312"/>
          <w:color w:val="auto"/>
          <w:spacing w:val="4"/>
          <w:sz w:val="28"/>
          <w:szCs w:val="28"/>
        </w:rPr>
        <w:t>成果为勐海县“十四五”水安全保障规划需求，最终成果以与上级规划衔接结果为准。</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勐海县“十四五”水安全保障规划报告按照践行“水利工程补短板、水利行业强监管”的水利改革发展总基调的要求，参照《云南省“十四五”水安全保障规划编制技术大纲》结合勐海县情水情编制，在规划背景和总体要求基础上，规划内容分为九大部分，具体包括推进节水型社会建设、完善江河安澜的防洪体系、构建空间均衡的水资源配置体系、恢复水清岸绿的水生态体系、加强城乡一体的供水灌溉体系、健全调控精准的智慧水利体系、保障水工程安全以及推进水治理能力现代化。</w:t>
      </w:r>
    </w:p>
    <w:p>
      <w:pPr>
        <w:pStyle w:val="3"/>
        <w:ind w:firstLine="576"/>
      </w:pPr>
    </w:p>
    <w:p>
      <w:pPr>
        <w:pStyle w:val="3"/>
        <w:ind w:firstLine="576"/>
      </w:pPr>
    </w:p>
    <w:p>
      <w:pPr>
        <w:pStyle w:val="2"/>
        <w:rPr>
          <w:rFonts w:ascii="Times New Roman" w:hAnsi="Times New Roman"/>
        </w:rPr>
        <w:sectPr>
          <w:footerReference r:id="rId10" w:type="default"/>
          <w:pgSz w:w="11906" w:h="16838"/>
          <w:pgMar w:top="1418" w:right="1418" w:bottom="1418" w:left="1418" w:header="851" w:footer="992" w:gutter="0"/>
          <w:pgNumType w:start="1"/>
          <w:cols w:space="425" w:num="1"/>
          <w:docGrid w:type="linesAndChars" w:linePitch="312" w:charSpace="0"/>
        </w:sectPr>
      </w:pPr>
      <w:bookmarkStart w:id="3" w:name="_Toc161717059"/>
      <w:bookmarkEnd w:id="3"/>
      <w:bookmarkStart w:id="4" w:name="_Toc160853583"/>
      <w:bookmarkEnd w:id="4"/>
      <w:bookmarkStart w:id="5" w:name="_Toc62004734"/>
      <w:bookmarkStart w:id="6" w:name="_Toc445137490"/>
      <w:bookmarkStart w:id="7" w:name="_Toc430257966"/>
      <w:bookmarkStart w:id="8" w:name="_Toc443037194"/>
      <w:bookmarkStart w:id="9" w:name="_Toc51404754"/>
      <w:bookmarkStart w:id="10" w:name="_Toc430784433"/>
    </w:p>
    <w:bookmarkEnd w:id="5"/>
    <w:bookmarkEnd w:id="6"/>
    <w:bookmarkEnd w:id="7"/>
    <w:bookmarkEnd w:id="8"/>
    <w:bookmarkEnd w:id="9"/>
    <w:bookmarkEnd w:id="10"/>
    <w:p>
      <w:pPr>
        <w:pStyle w:val="2"/>
        <w:numPr>
          <w:ilvl w:val="0"/>
          <w:numId w:val="2"/>
        </w:numPr>
        <w:spacing w:before="240"/>
        <w:rPr>
          <w:rFonts w:ascii="Times New Roman" w:hAnsi="Times New Roman"/>
        </w:rPr>
      </w:pPr>
      <w:bookmarkStart w:id="11" w:name="_Toc62461299"/>
      <w:r>
        <w:rPr>
          <w:rFonts w:ascii="Times New Roman" w:hAnsi="Times New Roman"/>
        </w:rPr>
        <w:t>规划背景</w:t>
      </w:r>
      <w:bookmarkEnd w:id="11"/>
    </w:p>
    <w:p>
      <w:pPr>
        <w:pStyle w:val="4"/>
        <w:spacing w:before="240"/>
        <w:ind w:left="825" w:hanging="825" w:hangingChars="275"/>
        <w:rPr>
          <w:rFonts w:ascii="Times New Roman" w:hAnsi="Times New Roman"/>
        </w:rPr>
      </w:pPr>
      <w:bookmarkStart w:id="12" w:name="_Toc62461300"/>
      <w:bookmarkStart w:id="13" w:name="_Toc43754871"/>
      <w:r>
        <w:rPr>
          <w:rFonts w:ascii="Times New Roman" w:hAnsi="Times New Roman"/>
        </w:rPr>
        <w:t>县情概况</w:t>
      </w:r>
      <w:bookmarkEnd w:id="12"/>
      <w:bookmarkEnd w:id="13"/>
    </w:p>
    <w:p>
      <w:pPr>
        <w:pStyle w:val="5"/>
        <w:rPr>
          <w:rFonts w:ascii="Times New Roman" w:hAnsi="Times New Roman"/>
        </w:rPr>
      </w:pPr>
      <w:r>
        <w:rPr>
          <w:rFonts w:ascii="Times New Roman" w:hAnsi="Times New Roman"/>
        </w:rPr>
        <w:t>地理位置</w:t>
      </w:r>
    </w:p>
    <w:p>
      <w:pPr>
        <w:pStyle w:val="3"/>
        <w:ind w:firstLine="576"/>
        <w:rPr>
          <w:rFonts w:eastAsia="Times New Roman"/>
        </w:rPr>
      </w:pPr>
      <w:r>
        <w:t>勐海为傣语地名，意为勇敢者居住的地方，位于云南省西南边陲、西双版纳傣族自治州的西部，地处东经99°56′-100°41′、北纬21°28′-22°28′之间。东邻景洪市，东北接思茅市，西北与澜沧拉祜族自治县毗邻，西和南与缅甸接壤，国境线长146.56km。县境东西最大横距77km，南北最大纵距115km，总面积5368km</w:t>
      </w:r>
      <w:r>
        <w:rPr>
          <w:vertAlign w:val="superscript"/>
        </w:rPr>
        <w:t>2</w:t>
      </w:r>
      <w:r>
        <w:t>，其中山区面积占93.45%，坝区面积占6.55%。县城所在地勐海镇距州府景洪市45km，距省府昆明市599km。</w:t>
      </w:r>
    </w:p>
    <w:p>
      <w:pPr>
        <w:pStyle w:val="3"/>
        <w:ind w:firstLine="576"/>
      </w:pPr>
      <w:r>
        <w:t>勐海区位优越，是云南省面向东南亚的重要门户之一。位于中缅边境的打洛镇，自古就是中国通往缅甸、泰国及整个东南亚的便捷通道，是中国从陆路达泰国的最近通道。1991年8月，打洛口岸经云南省政府批准为省级口岸，1992年被国务院列为首批对外开放口岸，2007年11月13日，经国务院批准升格为国家级一类口岸，口岸性质为国际公路客货运输口岸。勐海县区位如下图所示。</w:t>
      </w:r>
    </w:p>
    <w:p>
      <w:pPr>
        <w:pStyle w:val="3"/>
        <w:spacing w:line="240" w:lineRule="auto"/>
        <w:ind w:firstLine="0" w:firstLineChars="0"/>
      </w:pPr>
      <w:r>
        <w:rPr>
          <w:rFonts w:eastAsia="Times New Roman"/>
        </w:rPr>
        <w:drawing>
          <wp:inline distT="0" distB="0" distL="0" distR="0">
            <wp:extent cx="5453380" cy="41186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l="8298" t="14059" r="29131" b="21768"/>
                    <a:stretch>
                      <a:fillRect/>
                    </a:stretch>
                  </pic:blipFill>
                  <pic:spPr>
                    <a:xfrm>
                      <a:off x="0" y="0"/>
                      <a:ext cx="5456612" cy="4121036"/>
                    </a:xfrm>
                    <a:prstGeom prst="rect">
                      <a:avLst/>
                    </a:prstGeom>
                    <a:noFill/>
                    <a:ln>
                      <a:noFill/>
                    </a:ln>
                  </pic:spPr>
                </pic:pic>
              </a:graphicData>
            </a:graphic>
          </wp:inline>
        </w:drawing>
      </w:r>
    </w:p>
    <w:p>
      <w:pPr>
        <w:pStyle w:val="13"/>
        <w:rPr>
          <w:rFonts w:cs="Times New Roman"/>
        </w:rPr>
      </w:pPr>
      <w:r>
        <w:rPr>
          <w:rFonts w:cs="Times New Roman"/>
        </w:rPr>
        <w:t xml:space="preserve">图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1.1</w:t>
      </w:r>
      <w:r>
        <w:rPr>
          <w:rFonts w:cs="Times New Roman"/>
        </w:rPr>
        <w:fldChar w:fldCharType="end"/>
      </w:r>
      <w:r>
        <w:rPr>
          <w:rFonts w:cs="Times New Roman"/>
        </w:rPr>
        <w:noBreakHyphen/>
      </w:r>
      <w:r>
        <w:rPr>
          <w:rFonts w:cs="Times New Roman"/>
        </w:rPr>
        <w:fldChar w:fldCharType="begin"/>
      </w:r>
      <w:r>
        <w:rPr>
          <w:rFonts w:cs="Times New Roman"/>
        </w:rPr>
        <w:instrText xml:space="preserve"> SEQ 图 \* ARABIC \s 2 </w:instrText>
      </w:r>
      <w:r>
        <w:rPr>
          <w:rFonts w:cs="Times New Roman"/>
        </w:rPr>
        <w:fldChar w:fldCharType="separate"/>
      </w:r>
      <w:r>
        <w:rPr>
          <w:rFonts w:cs="Times New Roman"/>
        </w:rPr>
        <w:t>1</w:t>
      </w:r>
      <w:r>
        <w:rPr>
          <w:rFonts w:cs="Times New Roman"/>
        </w:rPr>
        <w:fldChar w:fldCharType="end"/>
      </w:r>
      <w:r>
        <w:rPr>
          <w:rFonts w:cs="Times New Roman"/>
        </w:rPr>
        <w:t>勐海县区域位置示意图</w:t>
      </w:r>
    </w:p>
    <w:p>
      <w:pPr>
        <w:numPr>
          <w:ilvl w:val="2"/>
          <w:numId w:val="1"/>
        </w:numPr>
        <w:spacing w:before="120" w:after="120" w:line="360" w:lineRule="auto"/>
        <w:jc w:val="left"/>
        <w:outlineLvl w:val="2"/>
        <w:rPr>
          <w:rFonts w:ascii="Times New Roman" w:hAnsi="Times New Roman" w:eastAsia="黑体"/>
          <w:color w:val="auto"/>
          <w:sz w:val="28"/>
          <w:szCs w:val="32"/>
        </w:rPr>
      </w:pPr>
      <w:r>
        <w:rPr>
          <w:rFonts w:ascii="Times New Roman" w:hAnsi="Times New Roman" w:eastAsia="黑体"/>
          <w:color w:val="auto"/>
          <w:sz w:val="28"/>
          <w:szCs w:val="32"/>
        </w:rPr>
        <w:t>地形地貌</w:t>
      </w:r>
    </w:p>
    <w:p>
      <w:pPr>
        <w:pStyle w:val="3"/>
        <w:ind w:firstLine="576"/>
      </w:pPr>
      <w:r>
        <w:t>勐海县地处横断山系纵谷区南段，怒江山脉向南延伸的余脉部，澜沧江西岸。属西南山原地貌，高原丘陵盆地。境内地势西北高、东南低，四周高峻，中部平缓，山峰、丘陵、平坝相互交错。因处澜沧江断裂褶皱带上，地形复杂，地貌多样，四围高山，中间及河谷地带呈山间盆地。最高点在县境东部勐宋乡的滑竹梁子主峰，海拔2429m，</w:t>
      </w:r>
      <w:r>
        <w:rPr>
          <w:rFonts w:hint="eastAsia"/>
        </w:rPr>
        <w:t xml:space="preserve"> </w:t>
      </w:r>
      <w:r>
        <w:t>属州内第一高峰。最低点为县境西南的南桔河与南览河交汇处，海拔535m。</w:t>
      </w:r>
    </w:p>
    <w:p>
      <w:pPr>
        <w:pStyle w:val="3"/>
        <w:ind w:firstLine="576"/>
      </w:pPr>
      <w:r>
        <w:t>由于新构造运动使本区急剧抬升和伴随强烈的切割作用，使本区形成了一些高山深谷，在山区“V”字形峡谷较多，相对高差达数百米。大部分山岭地带多为中山山地，坝子边缘及其外围则多为高原丘陵，呈岭谷与山间盆地相交错分布的地貌格局。</w:t>
      </w:r>
    </w:p>
    <w:p>
      <w:pPr>
        <w:pStyle w:val="3"/>
        <w:ind w:firstLine="576"/>
      </w:pPr>
      <w:r>
        <w:t>全县地貌类型大致可分为中山山地、丘陵、盆地三种。中山山地绝对高程多在1000~2200m，地理景观多变，既有陡坡险峰，又有梳状排列的山箐溪流，主要分布在西定、布朗山、格朗和、勐宋和勐满、勐阿、勐混、打洛、勐往的山区和勐海镇的火盘山一带。县境丘陵与东南沿海丘陵不同，为“高原式丘陵”，主要分布在勐遮、勐混、勐阿和打洛等坝子边缘。盆地又称为坝子，全县大小坝子共有17个，是水稻、蔗糖的主产区，其中万亩以上坝子9个（勐海坝、勐遮坝、勐混坝、勐阿坝、勐往坝、勐板坝、打洛坝、勐满坝、勐宋坝）。</w:t>
      </w:r>
    </w:p>
    <w:p>
      <w:pPr>
        <w:pStyle w:val="5"/>
        <w:rPr>
          <w:rFonts w:ascii="Times New Roman" w:hAnsi="Times New Roman"/>
        </w:rPr>
      </w:pPr>
      <w:r>
        <w:rPr>
          <w:rFonts w:ascii="Times New Roman" w:hAnsi="Times New Roman"/>
        </w:rPr>
        <w:t>社会人口</w:t>
      </w:r>
    </w:p>
    <w:p>
      <w:pPr>
        <w:pStyle w:val="3"/>
        <w:ind w:firstLine="576"/>
        <w:rPr>
          <w:rFonts w:eastAsia="Times New Roman"/>
        </w:rPr>
      </w:pPr>
      <w:r>
        <w:t>勐海县境内居住着傣族、哈尼族、拉祜族、布朗族、汉族、彝族、回族、佤族、白族、苗族、壮族、景颇族等25个民族。201</w:t>
      </w:r>
      <w:r>
        <w:rPr>
          <w:rFonts w:hint="eastAsia"/>
        </w:rPr>
        <w:t>8</w:t>
      </w:r>
      <w:r>
        <w:t>年，全县常住总人口34.32万人，户籍总人口88999户32.80万人。少数民族人口28.94万人，占总人口的88.24%，其中傣族12.70万人，占总人口的38.70%；哈尼族6.80万人，占20.74%；拉祜族4.44万人，占13.54%；布朗族3.77万人，占11.51%。</w:t>
      </w:r>
    </w:p>
    <w:p>
      <w:pPr>
        <w:pStyle w:val="3"/>
        <w:ind w:firstLine="576"/>
      </w:pPr>
      <w:r>
        <w:t>勐海县辖6个镇（勐海镇、打洛镇、勐遮镇、勐混镇、勐满镇、勐阿镇），5个乡（勐宋乡、勐往乡、格朗和哈尼族乡、布朗山布朗族乡、西定哈尼族布朗族乡）</w:t>
      </w:r>
      <w:r>
        <w:rPr>
          <w:rFonts w:hint="eastAsia"/>
        </w:rPr>
        <w:t>和1个黎明农场</w:t>
      </w:r>
      <w:r>
        <w:t>，5个居民社区，85个村民委员会，914个自然村，953个村民小组。勐海县城位于勐海镇，城区面积3.5km</w:t>
      </w:r>
      <w:r>
        <w:rPr>
          <w:vertAlign w:val="superscript"/>
        </w:rPr>
        <w:t>2</w:t>
      </w:r>
      <w:r>
        <w:t>。</w:t>
      </w:r>
    </w:p>
    <w:p>
      <w:pPr>
        <w:pStyle w:val="5"/>
        <w:rPr>
          <w:rFonts w:ascii="Times New Roman" w:hAnsi="Times New Roman"/>
        </w:rPr>
      </w:pPr>
      <w:r>
        <w:rPr>
          <w:rFonts w:ascii="Times New Roman" w:hAnsi="Times New Roman"/>
        </w:rPr>
        <w:t>经济发展</w:t>
      </w:r>
    </w:p>
    <w:p>
      <w:pPr>
        <w:pStyle w:val="3"/>
        <w:ind w:firstLine="576"/>
        <w:rPr>
          <w:rFonts w:eastAsia="Times New Roman"/>
        </w:rPr>
      </w:pPr>
      <w:r>
        <w:rPr>
          <w:rFonts w:hint="eastAsia"/>
        </w:rPr>
        <w:t>2018年，勐海县地区生产总值1057440万元，人均地区生产总值30491万元，其中，第一产业地区生产总值281704万元，第二产业地区生产总值350593万元，第三产业地区生产总值425143万元，三次产业比为26.6:33.2:40.2。勐海县2018年年末耕地面积87.8万亩，农作物播种总面积11.4万亩，橡胶种植面积343.27万亩，农林牧渔业总产值400998万元，其中，农业产值277882万元，林业产值22260万元，牧业产值56120万元，渔业产值26600万元。勐海县</w:t>
      </w:r>
      <w:r>
        <w:t>辖区财政总收入8.31亿元，地方一般公共预算收入完成4.95亿元，全社会固定资产投资完成额53.07亿元。社会消费品零售总额20.34亿元。金融机构各项存款余额99.37亿元；贷款余额60.45亿元。城镇居民人均可支配收入26691元，比上年增长7.7%；农村常住居民人均可支配收入10935元，比上年增长9.5%。</w:t>
      </w:r>
    </w:p>
    <w:p>
      <w:pPr>
        <w:pStyle w:val="4"/>
        <w:spacing w:before="240"/>
        <w:ind w:left="825" w:hanging="825" w:hangingChars="275"/>
        <w:rPr>
          <w:rFonts w:ascii="Times New Roman" w:hAnsi="Times New Roman"/>
        </w:rPr>
      </w:pPr>
      <w:bookmarkStart w:id="14" w:name="_Toc62461301"/>
      <w:r>
        <w:rPr>
          <w:rFonts w:ascii="Times New Roman" w:hAnsi="Times New Roman"/>
        </w:rPr>
        <w:t>水情概况</w:t>
      </w:r>
      <w:bookmarkEnd w:id="14"/>
    </w:p>
    <w:p>
      <w:pPr>
        <w:pStyle w:val="5"/>
        <w:spacing w:before="240" w:after="0"/>
        <w:ind w:left="960" w:hanging="960" w:hangingChars="343"/>
        <w:rPr>
          <w:rFonts w:ascii="Times New Roman" w:hAnsi="Times New Roman"/>
        </w:rPr>
      </w:pPr>
      <w:r>
        <w:rPr>
          <w:rFonts w:ascii="Times New Roman" w:hAnsi="Times New Roman"/>
        </w:rPr>
        <w:t>气象水文</w:t>
      </w:r>
    </w:p>
    <w:p>
      <w:pPr>
        <w:pStyle w:val="3"/>
        <w:ind w:firstLine="576"/>
      </w:pPr>
      <w:r>
        <w:t>勐海区域属热带、亚热带西南季风型气候，地处北回归线以南，而接近北回归线。从大的温度带来讲，它属热带，但由于海拔高程在800m以上的面积占绝大多数，所表现的气候特征又不同于同纬度的景洪，它又为南亚热带西南季风气候；其次，县境内地形海拔高程相差较大，随着地形的高低变化，冷热状况也随之变化，形成“立体气候”，从而也形成立体的土壤类型，立体的农业结构。总的气候特点可概括为“冬无严寒，夏无酷暑，四季如春，但有九月低温；年多雾日，雨量充沛，但分布不均，干湿分明，春旱夏涝”。</w:t>
      </w:r>
    </w:p>
    <w:p>
      <w:pPr>
        <w:pStyle w:val="3"/>
        <w:ind w:firstLine="576"/>
      </w:pPr>
      <w:r>
        <w:t>根据勐海气象站多年统计资料，勐海县多年平均降雨量1537.1mm，多年平均蒸发量922.2mm；多年平均气温18.1℃；多年平均相对湿度82%；年静风率达58%；多年平均风速1.2m/s；主向风向为西风，占风日的64%；多雾是勐海气候的特点之一，全县平均雾日129d，雾季在9月至次年的1月。</w:t>
      </w:r>
    </w:p>
    <w:p>
      <w:pPr>
        <w:pStyle w:val="5"/>
        <w:rPr>
          <w:rFonts w:ascii="Times New Roman" w:hAnsi="Times New Roman"/>
        </w:rPr>
      </w:pPr>
      <w:r>
        <w:rPr>
          <w:rFonts w:ascii="Times New Roman" w:hAnsi="Times New Roman"/>
        </w:rPr>
        <w:t>河流水系</w:t>
      </w:r>
    </w:p>
    <w:p>
      <w:pPr>
        <w:pStyle w:val="3"/>
        <w:ind w:firstLine="576"/>
      </w:pPr>
      <w:r>
        <w:t>勐海</w:t>
      </w:r>
      <w:commentRangeStart w:id="0"/>
      <w:r>
        <w:t>县</w:t>
      </w:r>
      <w:commentRangeEnd w:id="0"/>
      <w:r>
        <w:rPr>
          <w:rStyle w:val="39"/>
          <w:rFonts w:ascii="宋体" w:hAnsi="宋体" w:eastAsia="宋体"/>
          <w:spacing w:val="0"/>
        </w:rPr>
        <w:commentReference w:id="0"/>
      </w:r>
      <w:r>
        <w:t>河流属澜沧江水系，其中2.5km以上的常年河流共</w:t>
      </w:r>
      <w:r>
        <w:rPr>
          <w:rFonts w:hint="eastAsia"/>
        </w:rPr>
        <w:t>141</w:t>
      </w:r>
      <w:r>
        <w:t>条，河流总长约</w:t>
      </w:r>
      <w:r>
        <w:rPr>
          <w:rFonts w:hint="eastAsia"/>
        </w:rPr>
        <w:t>1944.41</w:t>
      </w:r>
      <w:r>
        <w:t>km</w:t>
      </w:r>
      <w:r>
        <w:rPr>
          <w:rFonts w:hint="eastAsia"/>
        </w:rPr>
        <w:t>，</w:t>
      </w:r>
      <w:r>
        <w:t>总集水面积</w:t>
      </w:r>
      <w:r>
        <w:rPr>
          <w:rFonts w:hint="eastAsia"/>
        </w:rPr>
        <w:t>8634.76</w:t>
      </w:r>
      <w:r>
        <w:t>km</w:t>
      </w:r>
      <w:r>
        <w:rPr>
          <w:vertAlign w:val="superscript"/>
        </w:rPr>
        <w:t>2</w:t>
      </w:r>
      <w:r>
        <w:t>。勐海县主要河流有澜沧江、流沙河、南果河、勐往河、南览河等。</w:t>
      </w:r>
    </w:p>
    <w:p>
      <w:pPr>
        <w:adjustRightInd w:val="0"/>
        <w:snapToGrid w:val="0"/>
        <w:spacing w:line="6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流沙河：</w:t>
      </w:r>
      <w:r>
        <w:rPr>
          <w:rFonts w:hint="eastAsia" w:ascii="Times New Roman" w:hAnsi="Times New Roman" w:eastAsia="仿宋_GB2312"/>
          <w:sz w:val="28"/>
          <w:szCs w:val="28"/>
        </w:rPr>
        <w:t>流沙河</w:t>
      </w:r>
      <w:r>
        <w:rPr>
          <w:rFonts w:ascii="Times New Roman" w:hAnsi="Times New Roman" w:eastAsia="仿宋_GB2312"/>
          <w:sz w:val="28"/>
          <w:szCs w:val="28"/>
        </w:rPr>
        <w:t>源自布朗山乡三垛山东麓，经高山峡谷后于曼蚌寨附近进入勐混坝区，自南向北穿过勐混坝后，到勐遮镇曼拉寨前与南哈河交汇</w:t>
      </w:r>
      <w:r>
        <w:rPr>
          <w:rFonts w:hint="eastAsia" w:ascii="Times New Roman" w:hAnsi="Times New Roman" w:eastAsia="仿宋_GB2312"/>
          <w:sz w:val="28"/>
          <w:szCs w:val="28"/>
        </w:rPr>
        <w:t>，</w:t>
      </w:r>
      <w:r>
        <w:rPr>
          <w:rFonts w:ascii="Times New Roman" w:hAnsi="Times New Roman" w:eastAsia="仿宋_GB2312"/>
          <w:sz w:val="28"/>
          <w:szCs w:val="28"/>
        </w:rPr>
        <w:t>交汇后往东北流经勐海坝子，</w:t>
      </w:r>
      <w:r>
        <w:rPr>
          <w:rFonts w:hint="eastAsia" w:ascii="Times New Roman" w:hAnsi="Times New Roman" w:eastAsia="仿宋_GB2312"/>
          <w:sz w:val="28"/>
          <w:szCs w:val="28"/>
        </w:rPr>
        <w:t>从</w:t>
      </w:r>
      <w:r>
        <w:rPr>
          <w:rFonts w:ascii="Times New Roman" w:hAnsi="Times New Roman" w:eastAsia="仿宋_GB2312"/>
          <w:sz w:val="28"/>
          <w:szCs w:val="28"/>
        </w:rPr>
        <w:t>东进入山谷，于昆洛公路755道吉佐附近进入景洪县境，在景洪县景洪镇曼龙匡东南角注入澜沧江。</w:t>
      </w:r>
      <w:r>
        <w:rPr>
          <w:rFonts w:hint="eastAsia" w:ascii="Times New Roman" w:hAnsi="Times New Roman" w:eastAsia="仿宋_GB2312"/>
          <w:sz w:val="28"/>
          <w:szCs w:val="28"/>
        </w:rPr>
        <w:t>流沙河</w:t>
      </w:r>
      <w:r>
        <w:rPr>
          <w:rFonts w:ascii="Times New Roman" w:hAnsi="Times New Roman" w:eastAsia="仿宋_GB2312"/>
          <w:sz w:val="28"/>
          <w:szCs w:val="28"/>
        </w:rPr>
        <w:t>干流全长128.7km，其中县境内长69km，流域面积2163km</w:t>
      </w:r>
      <w:r>
        <w:rPr>
          <w:rFonts w:ascii="Times New Roman" w:hAnsi="Times New Roman" w:eastAsia="仿宋_GB2312"/>
          <w:sz w:val="28"/>
          <w:szCs w:val="28"/>
          <w:vertAlign w:val="superscript"/>
        </w:rPr>
        <w:t>2</w:t>
      </w:r>
      <w:r>
        <w:rPr>
          <w:rFonts w:ascii="Times New Roman" w:hAnsi="Times New Roman" w:eastAsia="仿宋_GB2312"/>
          <w:sz w:val="28"/>
          <w:szCs w:val="28"/>
        </w:rPr>
        <w:t>，其中勐海县境内1704km</w:t>
      </w:r>
      <w:r>
        <w:rPr>
          <w:rFonts w:ascii="Times New Roman" w:hAnsi="Times New Roman" w:eastAsia="仿宋_GB2312"/>
          <w:sz w:val="28"/>
          <w:szCs w:val="28"/>
          <w:vertAlign w:val="superscript"/>
        </w:rPr>
        <w:t>2</w:t>
      </w:r>
      <w:r>
        <w:rPr>
          <w:rFonts w:ascii="Times New Roman" w:hAnsi="Times New Roman" w:eastAsia="仿宋_GB2312"/>
          <w:sz w:val="28"/>
          <w:szCs w:val="28"/>
        </w:rPr>
        <w:t>。年平均流量17.7m</w:t>
      </w:r>
      <w:r>
        <w:rPr>
          <w:rFonts w:ascii="Times New Roman" w:hAnsi="Times New Roman" w:eastAsia="仿宋_GB2312"/>
          <w:sz w:val="28"/>
          <w:szCs w:val="28"/>
          <w:vertAlign w:val="superscript"/>
        </w:rPr>
        <w:t>3</w:t>
      </w:r>
      <w:r>
        <w:rPr>
          <w:rFonts w:ascii="Times New Roman" w:hAnsi="Times New Roman" w:eastAsia="仿宋_GB2312"/>
          <w:sz w:val="28"/>
          <w:szCs w:val="28"/>
        </w:rPr>
        <w:t>/s，历年最高洪峰量231m</w:t>
      </w:r>
      <w:r>
        <w:rPr>
          <w:rFonts w:ascii="Times New Roman" w:hAnsi="Times New Roman" w:eastAsia="仿宋_GB2312"/>
          <w:sz w:val="28"/>
          <w:szCs w:val="28"/>
          <w:vertAlign w:val="superscript"/>
        </w:rPr>
        <w:t>3</w:t>
      </w:r>
      <w:r>
        <w:rPr>
          <w:rFonts w:ascii="Times New Roman" w:hAnsi="Times New Roman" w:eastAsia="仿宋_GB2312"/>
          <w:sz w:val="28"/>
          <w:szCs w:val="28"/>
        </w:rPr>
        <w:t>/s，最小流量0.092m</w:t>
      </w:r>
      <w:r>
        <w:rPr>
          <w:rFonts w:ascii="Times New Roman" w:hAnsi="Times New Roman" w:eastAsia="仿宋_GB2312"/>
          <w:sz w:val="28"/>
          <w:szCs w:val="28"/>
          <w:vertAlign w:val="superscript"/>
        </w:rPr>
        <w:t>3</w:t>
      </w:r>
      <w:r>
        <w:rPr>
          <w:rFonts w:ascii="Times New Roman" w:hAnsi="Times New Roman" w:eastAsia="仿宋_GB2312"/>
          <w:sz w:val="28"/>
          <w:szCs w:val="28"/>
        </w:rPr>
        <w:t>/s，多年平均径流量9.87亿m</w:t>
      </w:r>
      <w:r>
        <w:rPr>
          <w:rFonts w:ascii="Times New Roman" w:hAnsi="Times New Roman" w:eastAsia="仿宋_GB2312"/>
          <w:sz w:val="28"/>
          <w:szCs w:val="28"/>
          <w:vertAlign w:val="superscript"/>
        </w:rPr>
        <w:t>3</w:t>
      </w:r>
      <w:r>
        <w:rPr>
          <w:rFonts w:ascii="Times New Roman" w:hAnsi="Times New Roman" w:eastAsia="仿宋_GB2312"/>
          <w:sz w:val="28"/>
          <w:szCs w:val="28"/>
        </w:rPr>
        <w:t>。</w:t>
      </w:r>
      <w:r>
        <w:rPr>
          <w:rFonts w:hint="eastAsia" w:ascii="Times New Roman" w:hAnsi="Times New Roman" w:eastAsia="仿宋_GB2312"/>
          <w:sz w:val="28"/>
          <w:szCs w:val="28"/>
        </w:rPr>
        <w:t xml:space="preserve">    </w:t>
      </w:r>
    </w:p>
    <w:p>
      <w:pPr>
        <w:adjustRightInd w:val="0"/>
        <w:snapToGrid w:val="0"/>
        <w:spacing w:line="6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南果河：</w:t>
      </w:r>
      <w:r>
        <w:rPr>
          <w:rFonts w:hint="eastAsia" w:ascii="Times New Roman" w:hAnsi="Times New Roman" w:eastAsia="仿宋_GB2312"/>
          <w:sz w:val="28"/>
          <w:szCs w:val="28"/>
        </w:rPr>
        <w:t>位于</w:t>
      </w:r>
      <w:r>
        <w:rPr>
          <w:rFonts w:ascii="Times New Roman" w:hAnsi="Times New Roman" w:eastAsia="仿宋_GB2312"/>
          <w:sz w:val="28"/>
          <w:szCs w:val="28"/>
        </w:rPr>
        <w:t>县境北部，南果为傣语，南为水，果为汇合，即多流汇合而成的河。主要支流有二，西北支流为南朗河，源于澜沧江拉祜族自治县酒房山；西南支流为南鲁河，源于勐满镇帕迫村公所老田寨后山。两河相汇于勐阿坝子北面注入南朗河，经勐康坝子后往东注入澜沧江。干流长81km，流域面积1246km</w:t>
      </w:r>
      <w:r>
        <w:rPr>
          <w:rFonts w:ascii="Times New Roman" w:hAnsi="Times New Roman" w:eastAsia="仿宋_GB2312"/>
          <w:sz w:val="28"/>
          <w:szCs w:val="28"/>
          <w:vertAlign w:val="superscript"/>
        </w:rPr>
        <w:t>2</w:t>
      </w:r>
      <w:r>
        <w:rPr>
          <w:rFonts w:ascii="Times New Roman" w:hAnsi="Times New Roman" w:eastAsia="仿宋_GB2312"/>
          <w:sz w:val="28"/>
          <w:szCs w:val="28"/>
        </w:rPr>
        <w:t>，其中勐海境内流域面积868km</w:t>
      </w:r>
      <w:r>
        <w:rPr>
          <w:rFonts w:ascii="Times New Roman" w:hAnsi="Times New Roman" w:eastAsia="仿宋_GB2312"/>
          <w:sz w:val="28"/>
          <w:szCs w:val="28"/>
          <w:vertAlign w:val="superscript"/>
        </w:rPr>
        <w:t>2</w:t>
      </w:r>
      <w:r>
        <w:rPr>
          <w:rFonts w:ascii="Times New Roman" w:hAnsi="Times New Roman" w:eastAsia="仿宋_GB2312"/>
          <w:sz w:val="28"/>
          <w:szCs w:val="28"/>
        </w:rPr>
        <w:t>。在勐阿盆地内一段称南朗河，过天生桥后称南果河。1980年测得最大流量12</w:t>
      </w:r>
      <w:r>
        <w:rPr>
          <w:rFonts w:hint="eastAsia" w:ascii="Times New Roman" w:hAnsi="Times New Roman" w:eastAsia="仿宋_GB2312"/>
          <w:sz w:val="28"/>
          <w:szCs w:val="28"/>
        </w:rPr>
        <w:t>0</w:t>
      </w:r>
      <w:r>
        <w:rPr>
          <w:rFonts w:ascii="Times New Roman" w:hAnsi="Times New Roman" w:eastAsia="仿宋_GB2312"/>
          <w:sz w:val="28"/>
          <w:szCs w:val="28"/>
        </w:rPr>
        <w:t>m</w:t>
      </w:r>
      <w:r>
        <w:rPr>
          <w:rFonts w:ascii="Times New Roman" w:hAnsi="Times New Roman" w:eastAsia="仿宋_GB2312"/>
          <w:sz w:val="28"/>
          <w:szCs w:val="28"/>
          <w:vertAlign w:val="superscript"/>
        </w:rPr>
        <w:t>3</w:t>
      </w:r>
      <w:r>
        <w:rPr>
          <w:rFonts w:ascii="Times New Roman" w:hAnsi="Times New Roman" w:eastAsia="仿宋_GB2312"/>
          <w:sz w:val="28"/>
          <w:szCs w:val="28"/>
        </w:rPr>
        <w:t>/s，最小流量4m</w:t>
      </w:r>
      <w:r>
        <w:rPr>
          <w:rFonts w:ascii="Times New Roman" w:hAnsi="Times New Roman" w:eastAsia="仿宋_GB2312"/>
          <w:sz w:val="28"/>
          <w:szCs w:val="28"/>
          <w:vertAlign w:val="superscript"/>
        </w:rPr>
        <w:t>3</w:t>
      </w:r>
      <w:r>
        <w:rPr>
          <w:rFonts w:ascii="Times New Roman" w:hAnsi="Times New Roman" w:eastAsia="仿宋_GB2312"/>
          <w:sz w:val="28"/>
          <w:szCs w:val="28"/>
        </w:rPr>
        <w:t>/s，多年平均流量7.11亿m</w:t>
      </w:r>
      <w:r>
        <w:rPr>
          <w:rFonts w:ascii="Times New Roman" w:hAnsi="Times New Roman" w:eastAsia="仿宋_GB2312"/>
          <w:sz w:val="28"/>
          <w:szCs w:val="28"/>
          <w:vertAlign w:val="superscript"/>
        </w:rPr>
        <w:t>3</w:t>
      </w:r>
      <w:r>
        <w:rPr>
          <w:rFonts w:ascii="Times New Roman" w:hAnsi="Times New Roman" w:eastAsia="仿宋_GB2312"/>
          <w:sz w:val="28"/>
          <w:szCs w:val="28"/>
        </w:rPr>
        <w:t>。</w:t>
      </w:r>
    </w:p>
    <w:p>
      <w:pPr>
        <w:adjustRightInd w:val="0"/>
        <w:snapToGrid w:val="0"/>
        <w:spacing w:line="6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勐往河：勐往河因流经勐往坝子而得名</w:t>
      </w:r>
      <w:r>
        <w:rPr>
          <w:rFonts w:hint="eastAsia" w:ascii="Times New Roman" w:hAnsi="Times New Roman" w:eastAsia="仿宋_GB2312"/>
          <w:sz w:val="28"/>
          <w:szCs w:val="28"/>
        </w:rPr>
        <w:t>，</w:t>
      </w:r>
      <w:r>
        <w:rPr>
          <w:rFonts w:ascii="Times New Roman" w:hAnsi="Times New Roman" w:eastAsia="仿宋_GB2312"/>
          <w:sz w:val="28"/>
          <w:szCs w:val="28"/>
        </w:rPr>
        <w:t>其上游有两支：左支响水河由澜沧县流入，右支南冻河发源于勐海县与澜沧县交界的龙洞山南麓，东流经曼冻寨折向北，在曼回寨与左支相交后，东流入澜沧江。在勐海县境内干流长38 km，流域面积250 km</w:t>
      </w:r>
      <w:r>
        <w:rPr>
          <w:rFonts w:ascii="Times New Roman" w:hAnsi="Times New Roman" w:eastAsia="仿宋_GB2312"/>
          <w:sz w:val="28"/>
          <w:szCs w:val="28"/>
          <w:vertAlign w:val="superscript"/>
        </w:rPr>
        <w:t>2</w:t>
      </w:r>
      <w:r>
        <w:rPr>
          <w:rFonts w:ascii="Times New Roman" w:hAnsi="Times New Roman" w:eastAsia="仿宋_GB2312"/>
          <w:sz w:val="28"/>
          <w:szCs w:val="28"/>
        </w:rPr>
        <w:t>。</w:t>
      </w:r>
    </w:p>
    <w:p>
      <w:pPr>
        <w:adjustRightInd w:val="0"/>
        <w:snapToGrid w:val="0"/>
        <w:spacing w:line="660"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南览河：</w:t>
      </w:r>
      <w:r>
        <w:rPr>
          <w:rFonts w:ascii="Times New Roman" w:hAnsi="Times New Roman" w:eastAsia="仿宋_GB2312"/>
          <w:sz w:val="28"/>
          <w:szCs w:val="28"/>
        </w:rPr>
        <w:t>南览河是澜沧江右岸二级支流，属中缅国际河流。发源于</w:t>
      </w:r>
      <w:r>
        <w:rPr>
          <w:rFonts w:hint="eastAsia" w:ascii="Times New Roman" w:hAnsi="Times New Roman" w:eastAsia="仿宋_GB2312"/>
          <w:sz w:val="28"/>
          <w:szCs w:val="28"/>
        </w:rPr>
        <w:t>普洱市</w:t>
      </w:r>
      <w:r>
        <w:rPr>
          <w:rFonts w:ascii="Times New Roman" w:hAnsi="Times New Roman" w:eastAsia="仿宋_GB2312"/>
          <w:sz w:val="28"/>
          <w:szCs w:val="28"/>
        </w:rPr>
        <w:t>澜沧县拉巴乡云山大寨的一座无名山，源地高程1857.9m，省境内河长227.5km，落差1312.9m，平均比降2.6‰，集水面积为4002.7km</w:t>
      </w:r>
      <w:r>
        <w:rPr>
          <w:rFonts w:ascii="Times New Roman" w:hAnsi="Times New Roman" w:eastAsia="仿宋_GB2312"/>
          <w:sz w:val="28"/>
          <w:szCs w:val="28"/>
          <w:vertAlign w:val="superscript"/>
        </w:rPr>
        <w:t>2</w:t>
      </w:r>
      <w:r>
        <w:rPr>
          <w:rFonts w:ascii="Times New Roman" w:hAnsi="Times New Roman" w:eastAsia="仿宋_GB2312"/>
          <w:sz w:val="28"/>
          <w:szCs w:val="28"/>
        </w:rPr>
        <w:t>。南览河从源头沿东南方向，流经澜沧县城转向西南方向，至勐朗镇勐滨村名为南坡河，经勐滨村转向南流，至南里河汇入口处名为南拉河，再转向东南方向，至</w:t>
      </w:r>
      <w:r>
        <w:rPr>
          <w:rFonts w:hint="eastAsia" w:ascii="Times New Roman" w:hAnsi="Times New Roman" w:eastAsia="仿宋_GB2312"/>
          <w:sz w:val="28"/>
          <w:szCs w:val="28"/>
        </w:rPr>
        <w:t>勐海</w:t>
      </w:r>
      <w:r>
        <w:rPr>
          <w:rFonts w:ascii="Times New Roman" w:hAnsi="Times New Roman" w:eastAsia="仿宋_GB2312"/>
          <w:sz w:val="28"/>
          <w:szCs w:val="28"/>
        </w:rPr>
        <w:t>县</w:t>
      </w:r>
      <w:r>
        <w:rPr>
          <w:rFonts w:hint="eastAsia" w:ascii="Times New Roman" w:hAnsi="Times New Roman" w:eastAsia="仿宋_GB2312"/>
          <w:sz w:val="28"/>
          <w:szCs w:val="28"/>
        </w:rPr>
        <w:t>界</w:t>
      </w:r>
      <w:r>
        <w:rPr>
          <w:rFonts w:ascii="Times New Roman" w:hAnsi="Times New Roman" w:eastAsia="仿宋_GB2312"/>
          <w:sz w:val="28"/>
          <w:szCs w:val="28"/>
        </w:rPr>
        <w:t>内名为南览河，在布朗山乡南木介河汇入后流入</w:t>
      </w:r>
      <w:r>
        <w:rPr>
          <w:rFonts w:hint="eastAsia" w:ascii="Times New Roman" w:hAnsi="Times New Roman" w:eastAsia="仿宋_GB2312"/>
          <w:sz w:val="28"/>
          <w:szCs w:val="28"/>
        </w:rPr>
        <w:t>境外</w:t>
      </w:r>
      <w:r>
        <w:rPr>
          <w:rFonts w:ascii="Times New Roman" w:hAnsi="Times New Roman" w:eastAsia="仿宋_GB2312"/>
          <w:sz w:val="28"/>
          <w:szCs w:val="28"/>
        </w:rPr>
        <w:t>，出境地高程545m。</w:t>
      </w:r>
      <w:r>
        <w:rPr>
          <w:rFonts w:hint="eastAsia" w:ascii="Times New Roman" w:hAnsi="Times New Roman" w:eastAsia="仿宋_GB2312"/>
          <w:sz w:val="28"/>
          <w:szCs w:val="28"/>
        </w:rPr>
        <w:t>南览河在勐海县的起点为勐满镇黎明公司七分场七队附近，流经勐满镇、西定乡、打洛镇、布朗山乡，在布朗山乡章家村空坎二队村民小组处流出勐海境外，流域面积约668.09km</w:t>
      </w:r>
      <w:r>
        <w:rPr>
          <w:rFonts w:hint="eastAsia" w:ascii="Times New Roman" w:hAnsi="Times New Roman" w:eastAsia="仿宋_GB2312"/>
          <w:sz w:val="28"/>
          <w:szCs w:val="28"/>
          <w:vertAlign w:val="superscript"/>
        </w:rPr>
        <w:t>2</w:t>
      </w:r>
      <w:r>
        <w:rPr>
          <w:rFonts w:hint="eastAsia" w:ascii="Times New Roman" w:hAnsi="Times New Roman" w:eastAsia="仿宋_GB2312"/>
          <w:sz w:val="28"/>
          <w:szCs w:val="28"/>
        </w:rPr>
        <w:t>，河段长129.4km，平均比降2.23‰。</w:t>
      </w:r>
    </w:p>
    <w:p>
      <w:pPr>
        <w:pStyle w:val="3"/>
        <w:spacing w:line="240" w:lineRule="auto"/>
        <w:ind w:firstLine="0" w:firstLineChars="0"/>
      </w:pPr>
      <w:r>
        <w:drawing>
          <wp:inline distT="0" distB="0" distL="0" distR="0">
            <wp:extent cx="5537200" cy="7830185"/>
            <wp:effectExtent l="0" t="0" r="6350" b="0"/>
            <wp:docPr id="6" name="图片 6" descr="E:\17 正开展工作\2020\2020010 勐海县十四五规划\4勐海县十四五规划\02 绘图及出图\1出图\4 勐海县河流水系分布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17 正开展工作\2020\2020010 勐海县十四五规划\4勐海县十四五规划\02 绘图及出图\1出图\4 勐海县河流水系分布示意图.png"/>
                    <pic:cNvPicPr>
                      <a:picLocks noChangeAspect="1" noChangeArrowheads="1"/>
                    </pic:cNvPicPr>
                  </pic:nvPicPr>
                  <pic:blipFill>
                    <a:blip r:embed="rId18" cstate="print"/>
                    <a:srcRect/>
                    <a:stretch>
                      <a:fillRect/>
                    </a:stretch>
                  </pic:blipFill>
                  <pic:spPr>
                    <a:xfrm>
                      <a:off x="0" y="0"/>
                      <a:ext cx="5537200" cy="7830224"/>
                    </a:xfrm>
                    <a:prstGeom prst="rect">
                      <a:avLst/>
                    </a:prstGeom>
                    <a:noFill/>
                    <a:ln>
                      <a:noFill/>
                    </a:ln>
                  </pic:spPr>
                </pic:pic>
              </a:graphicData>
            </a:graphic>
          </wp:inline>
        </w:drawing>
      </w:r>
    </w:p>
    <w:p>
      <w:pPr>
        <w:pStyle w:val="13"/>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 xml:space="preserve"> </w:t>
      </w:r>
      <w:r>
        <w:t>勐海县河流水系示意图</w:t>
      </w:r>
    </w:p>
    <w:p>
      <w:pPr>
        <w:pStyle w:val="5"/>
        <w:rPr>
          <w:rFonts w:ascii="Times New Roman" w:hAnsi="Times New Roman"/>
        </w:rPr>
      </w:pPr>
      <w:r>
        <w:rPr>
          <w:rFonts w:ascii="Times New Roman" w:hAnsi="Times New Roman"/>
        </w:rPr>
        <w:t>水资源状况</w:t>
      </w:r>
    </w:p>
    <w:p>
      <w:pPr>
        <w:pStyle w:val="3"/>
        <w:ind w:firstLine="576"/>
      </w:pPr>
      <w:commentRangeStart w:id="1"/>
      <w:r>
        <w:t>勐海县</w:t>
      </w:r>
      <w:commentRangeEnd w:id="1"/>
      <w:r>
        <w:rPr>
          <w:rStyle w:val="39"/>
          <w:rFonts w:eastAsia="宋体"/>
          <w:spacing w:val="0"/>
        </w:rPr>
        <w:commentReference w:id="1"/>
      </w:r>
      <w:r>
        <w:t>境内河网密布，水资源丰富，水资源总量为50.04亿ｍ</w:t>
      </w:r>
      <w:r>
        <w:rPr>
          <w:vertAlign w:val="superscript"/>
        </w:rPr>
        <w:t>3</w:t>
      </w:r>
      <w:r>
        <w:t>。</w:t>
      </w:r>
      <w:commentRangeStart w:id="2"/>
      <w:r>
        <w:t>201</w:t>
      </w:r>
      <w:r>
        <w:rPr>
          <w:rFonts w:hint="eastAsia"/>
        </w:rPr>
        <w:t>9</w:t>
      </w:r>
      <w:r>
        <w:t>年勐海县年降水量</w:t>
      </w:r>
      <w:r>
        <w:rPr>
          <w:rFonts w:hint="eastAsia"/>
        </w:rPr>
        <w:t>972.8</w:t>
      </w:r>
      <w:r>
        <w:t>mm；地表水资源总量</w:t>
      </w:r>
      <w:r>
        <w:rPr>
          <w:rFonts w:hint="eastAsia"/>
        </w:rPr>
        <w:t>17.27</w:t>
      </w:r>
      <w:r>
        <w:t>亿m³，产水模数</w:t>
      </w:r>
      <w:r>
        <w:rPr>
          <w:rFonts w:hint="eastAsia"/>
        </w:rPr>
        <w:t>32.52</w:t>
      </w:r>
      <w:r>
        <w:t>万m³/km</w:t>
      </w:r>
      <w:r>
        <w:rPr>
          <w:vertAlign w:val="superscript"/>
        </w:rPr>
        <w:t>2</w:t>
      </w:r>
      <w:r>
        <w:t>，人均占有水资源量</w:t>
      </w:r>
      <w:r>
        <w:rPr>
          <w:rFonts w:hint="eastAsia"/>
        </w:rPr>
        <w:t>4963</w:t>
      </w:r>
      <w:r>
        <w:t>m³。勐海县现状总供水量为</w:t>
      </w:r>
      <w:r>
        <w:rPr>
          <w:rFonts w:hint="eastAsia"/>
        </w:rPr>
        <w:t>2.02</w:t>
      </w:r>
      <w:r>
        <w:t>亿m</w:t>
      </w:r>
      <w:r>
        <w:rPr>
          <w:vertAlign w:val="superscript"/>
        </w:rPr>
        <w:t>3</w:t>
      </w:r>
      <w:r>
        <w:t>，水资源开发利用程度仅为</w:t>
      </w:r>
      <w:r>
        <w:rPr>
          <w:rFonts w:hint="eastAsia"/>
        </w:rPr>
        <w:t>7.03</w:t>
      </w:r>
      <w:r>
        <w:t>%</w:t>
      </w:r>
      <w:r>
        <w:rPr>
          <w:rFonts w:hint="eastAsia"/>
        </w:rPr>
        <w:t>。</w:t>
      </w:r>
      <w:commentRangeEnd w:id="2"/>
      <w:r>
        <w:commentReference w:id="2"/>
      </w:r>
    </w:p>
    <w:p>
      <w:pPr>
        <w:pStyle w:val="3"/>
        <w:ind w:firstLine="576"/>
      </w:pPr>
      <w:r>
        <w:t>全县境内11条主要河流的水能理论蕴量116.88万kW，可开发利用9.05万kW，占水能理论蕴藏总量的7.74%，开发利用潜力巨大。温泉资源丰富，有高温泉(60～100℃)4处、中温泉(40～60℃)10处、低温泉5处。</w:t>
      </w:r>
    </w:p>
    <w:p>
      <w:pPr>
        <w:pStyle w:val="3"/>
        <w:ind w:firstLine="576"/>
      </w:pPr>
      <w:r>
        <w:rPr>
          <w:rFonts w:hint="eastAsia"/>
        </w:rPr>
        <w:t>勐海县境内重要饮用水水源地有12个，水源点主要为水库和河流，12个水源地仅那达勐水库划定水源地保护区，那达勐水库水源地保护区面积65.072km</w:t>
      </w:r>
      <w:r>
        <w:rPr>
          <w:rFonts w:hint="eastAsia"/>
          <w:vertAlign w:val="superscript"/>
        </w:rPr>
        <w:t>2</w:t>
      </w:r>
      <w:r>
        <w:rPr>
          <w:rFonts w:hint="eastAsia"/>
        </w:rPr>
        <w:t>（水域和陆域），其中，一级保护区0.172km</w:t>
      </w:r>
      <w:r>
        <w:rPr>
          <w:rFonts w:hint="eastAsia"/>
          <w:vertAlign w:val="superscript"/>
        </w:rPr>
        <w:t>2</w:t>
      </w:r>
      <w:r>
        <w:rPr>
          <w:rFonts w:hint="eastAsia"/>
        </w:rPr>
        <w:t>，二级保护区6.67km</w:t>
      </w:r>
      <w:r>
        <w:rPr>
          <w:rFonts w:hint="eastAsia"/>
          <w:vertAlign w:val="superscript"/>
        </w:rPr>
        <w:t>2</w:t>
      </w:r>
      <w:r>
        <w:rPr>
          <w:rFonts w:hint="eastAsia"/>
        </w:rPr>
        <w:t>，准保护区58.23km</w:t>
      </w:r>
      <w:r>
        <w:rPr>
          <w:rFonts w:hint="eastAsia"/>
          <w:vertAlign w:val="superscript"/>
        </w:rPr>
        <w:t>2</w:t>
      </w:r>
      <w:r>
        <w:rPr>
          <w:rFonts w:hint="eastAsia"/>
        </w:rPr>
        <w:t>。各水源地基本情况如下表：</w:t>
      </w:r>
    </w:p>
    <w:p>
      <w:pPr>
        <w:pStyle w:val="13"/>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t>.</w:t>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勐海县水源地基本情</w:t>
      </w:r>
      <w:commentRangeStart w:id="3"/>
      <w:r>
        <w:rPr>
          <w:rFonts w:hint="eastAsia"/>
        </w:rPr>
        <w:t>况表</w:t>
      </w:r>
      <w:commentRangeEnd w:id="3"/>
      <w:r>
        <w:rPr>
          <w:rStyle w:val="39"/>
          <w:rFonts w:ascii="宋体" w:hAnsi="宋体" w:eastAsia="宋体" w:cs="Times New Roman"/>
          <w:color w:val="000000"/>
        </w:rPr>
        <w:commentReference w:id="3"/>
      </w:r>
    </w:p>
    <w:tbl>
      <w:tblPr>
        <w:tblStyle w:val="32"/>
        <w:tblW w:w="8936" w:type="dxa"/>
        <w:tblInd w:w="0" w:type="dxa"/>
        <w:tblLayout w:type="fixed"/>
        <w:tblCellMar>
          <w:top w:w="0" w:type="dxa"/>
          <w:left w:w="108" w:type="dxa"/>
          <w:bottom w:w="0" w:type="dxa"/>
          <w:right w:w="108" w:type="dxa"/>
        </w:tblCellMar>
      </w:tblPr>
      <w:tblGrid>
        <w:gridCol w:w="561"/>
        <w:gridCol w:w="2241"/>
        <w:gridCol w:w="1134"/>
        <w:gridCol w:w="2835"/>
        <w:gridCol w:w="2165"/>
      </w:tblGrid>
      <w:tr>
        <w:tblPrEx>
          <w:tblLayout w:type="fixed"/>
          <w:tblCellMar>
            <w:top w:w="0" w:type="dxa"/>
            <w:left w:w="108" w:type="dxa"/>
            <w:bottom w:w="0" w:type="dxa"/>
            <w:right w:w="108" w:type="dxa"/>
          </w:tblCellMar>
        </w:tblPrEx>
        <w:trPr>
          <w:trHeight w:val="480" w:hRule="atLeast"/>
        </w:trPr>
        <w:tc>
          <w:tcPr>
            <w:tcW w:w="5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序号</w:t>
            </w:r>
          </w:p>
        </w:tc>
        <w:tc>
          <w:tcPr>
            <w:tcW w:w="224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水源地名称</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所在乡镇</w:t>
            </w:r>
          </w:p>
        </w:tc>
        <w:tc>
          <w:tcPr>
            <w:tcW w:w="283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水源点所在水域</w:t>
            </w:r>
          </w:p>
        </w:tc>
        <w:tc>
          <w:tcPr>
            <w:tcW w:w="216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水源地保护区划定情况</w:t>
            </w:r>
          </w:p>
        </w:tc>
      </w:tr>
      <w:tr>
        <w:tblPrEx>
          <w:tblLayout w:type="fixed"/>
          <w:tblCellMar>
            <w:top w:w="0" w:type="dxa"/>
            <w:left w:w="108" w:type="dxa"/>
            <w:bottom w:w="0" w:type="dxa"/>
            <w:right w:w="108" w:type="dxa"/>
          </w:tblCellMar>
        </w:tblPrEx>
        <w:trPr>
          <w:trHeight w:val="429" w:hRule="atLeast"/>
        </w:trPr>
        <w:tc>
          <w:tcPr>
            <w:tcW w:w="5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1</w:t>
            </w:r>
          </w:p>
        </w:tc>
        <w:tc>
          <w:tcPr>
            <w:tcW w:w="2241"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那达勐水库水源地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勐混镇</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那达勐水库</w:t>
            </w:r>
          </w:p>
        </w:tc>
        <w:tc>
          <w:tcPr>
            <w:tcW w:w="216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已划定</w:t>
            </w:r>
          </w:p>
        </w:tc>
      </w:tr>
      <w:tr>
        <w:tblPrEx>
          <w:tblLayout w:type="fixed"/>
          <w:tblCellMar>
            <w:top w:w="0" w:type="dxa"/>
            <w:left w:w="108" w:type="dxa"/>
            <w:bottom w:w="0" w:type="dxa"/>
            <w:right w:w="108" w:type="dxa"/>
          </w:tblCellMar>
        </w:tblPrEx>
        <w:trPr>
          <w:trHeight w:val="312" w:hRule="atLeast"/>
        </w:trPr>
        <w:tc>
          <w:tcPr>
            <w:tcW w:w="5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2</w:t>
            </w:r>
          </w:p>
        </w:tc>
        <w:tc>
          <w:tcPr>
            <w:tcW w:w="2241"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勐邦水库水源地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勐遮镇</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勐邦水库</w:t>
            </w:r>
          </w:p>
        </w:tc>
        <w:tc>
          <w:tcPr>
            <w:tcW w:w="216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未划定</w:t>
            </w:r>
          </w:p>
        </w:tc>
      </w:tr>
      <w:tr>
        <w:tblPrEx>
          <w:tblLayout w:type="fixed"/>
          <w:tblCellMar>
            <w:top w:w="0" w:type="dxa"/>
            <w:left w:w="108" w:type="dxa"/>
            <w:bottom w:w="0" w:type="dxa"/>
            <w:right w:w="108" w:type="dxa"/>
          </w:tblCellMar>
        </w:tblPrEx>
        <w:trPr>
          <w:trHeight w:val="312" w:hRule="atLeast"/>
        </w:trPr>
        <w:tc>
          <w:tcPr>
            <w:tcW w:w="5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3</w:t>
            </w:r>
          </w:p>
        </w:tc>
        <w:tc>
          <w:tcPr>
            <w:tcW w:w="2241"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曼满水库水源地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勐遮镇</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曼满水库</w:t>
            </w:r>
          </w:p>
        </w:tc>
        <w:tc>
          <w:tcPr>
            <w:tcW w:w="216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已划定，待批复</w:t>
            </w:r>
          </w:p>
        </w:tc>
      </w:tr>
      <w:tr>
        <w:tblPrEx>
          <w:tblLayout w:type="fixed"/>
          <w:tblCellMar>
            <w:top w:w="0" w:type="dxa"/>
            <w:left w:w="108" w:type="dxa"/>
            <w:bottom w:w="0" w:type="dxa"/>
            <w:right w:w="108" w:type="dxa"/>
          </w:tblCellMar>
        </w:tblPrEx>
        <w:trPr>
          <w:trHeight w:val="312" w:hRule="atLeast"/>
        </w:trPr>
        <w:tc>
          <w:tcPr>
            <w:tcW w:w="5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4</w:t>
            </w:r>
          </w:p>
        </w:tc>
        <w:tc>
          <w:tcPr>
            <w:tcW w:w="2241"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曼丹水库水源地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勐海镇</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曼丹水库</w:t>
            </w:r>
          </w:p>
        </w:tc>
        <w:tc>
          <w:tcPr>
            <w:tcW w:w="216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未划定</w:t>
            </w:r>
          </w:p>
        </w:tc>
      </w:tr>
      <w:tr>
        <w:tblPrEx>
          <w:tblLayout w:type="fixed"/>
          <w:tblCellMar>
            <w:top w:w="0" w:type="dxa"/>
            <w:left w:w="108" w:type="dxa"/>
            <w:bottom w:w="0" w:type="dxa"/>
            <w:right w:w="108" w:type="dxa"/>
          </w:tblCellMar>
        </w:tblPrEx>
        <w:trPr>
          <w:trHeight w:val="312" w:hRule="atLeast"/>
        </w:trPr>
        <w:tc>
          <w:tcPr>
            <w:tcW w:w="5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5</w:t>
            </w:r>
          </w:p>
        </w:tc>
        <w:tc>
          <w:tcPr>
            <w:tcW w:w="2241"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打洛镇集镇供水水源地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打洛镇</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曼彦水库</w:t>
            </w:r>
          </w:p>
        </w:tc>
        <w:tc>
          <w:tcPr>
            <w:tcW w:w="216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未划定</w:t>
            </w:r>
          </w:p>
        </w:tc>
      </w:tr>
      <w:tr>
        <w:tblPrEx>
          <w:tblLayout w:type="fixed"/>
          <w:tblCellMar>
            <w:top w:w="0" w:type="dxa"/>
            <w:left w:w="108" w:type="dxa"/>
            <w:bottom w:w="0" w:type="dxa"/>
            <w:right w:w="108" w:type="dxa"/>
          </w:tblCellMar>
        </w:tblPrEx>
        <w:trPr>
          <w:trHeight w:val="312" w:hRule="atLeast"/>
        </w:trPr>
        <w:tc>
          <w:tcPr>
            <w:tcW w:w="5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6</w:t>
            </w:r>
          </w:p>
        </w:tc>
        <w:tc>
          <w:tcPr>
            <w:tcW w:w="2241"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勐阿镇集镇供水水源地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勐阿镇</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勐阿水库</w:t>
            </w:r>
          </w:p>
        </w:tc>
        <w:tc>
          <w:tcPr>
            <w:tcW w:w="216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未划定</w:t>
            </w:r>
          </w:p>
        </w:tc>
      </w:tr>
      <w:tr>
        <w:tblPrEx>
          <w:tblLayout w:type="fixed"/>
          <w:tblCellMar>
            <w:top w:w="0" w:type="dxa"/>
            <w:left w:w="108" w:type="dxa"/>
            <w:bottom w:w="0" w:type="dxa"/>
            <w:right w:w="108" w:type="dxa"/>
          </w:tblCellMar>
        </w:tblPrEx>
        <w:trPr>
          <w:trHeight w:val="312" w:hRule="atLeast"/>
        </w:trPr>
        <w:tc>
          <w:tcPr>
            <w:tcW w:w="5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7</w:t>
            </w:r>
          </w:p>
        </w:tc>
        <w:tc>
          <w:tcPr>
            <w:tcW w:w="2241"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勐满镇集镇供水水源地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勐满镇</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勐满水库</w:t>
            </w:r>
          </w:p>
        </w:tc>
        <w:tc>
          <w:tcPr>
            <w:tcW w:w="216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未划定</w:t>
            </w:r>
          </w:p>
        </w:tc>
      </w:tr>
      <w:tr>
        <w:tblPrEx>
          <w:tblLayout w:type="fixed"/>
          <w:tblCellMar>
            <w:top w:w="0" w:type="dxa"/>
            <w:left w:w="108" w:type="dxa"/>
            <w:bottom w:w="0" w:type="dxa"/>
            <w:right w:w="108" w:type="dxa"/>
          </w:tblCellMar>
        </w:tblPrEx>
        <w:trPr>
          <w:trHeight w:val="480" w:hRule="atLeast"/>
        </w:trPr>
        <w:tc>
          <w:tcPr>
            <w:tcW w:w="5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8</w:t>
            </w:r>
          </w:p>
        </w:tc>
        <w:tc>
          <w:tcPr>
            <w:tcW w:w="2241"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格朗和乡集镇供水水源地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格朗和乡</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平湖水库和南凹河右岸支流戈玛河取水口（曼麻榜小组）</w:t>
            </w:r>
          </w:p>
        </w:tc>
        <w:tc>
          <w:tcPr>
            <w:tcW w:w="216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未划定</w:t>
            </w:r>
          </w:p>
        </w:tc>
      </w:tr>
      <w:tr>
        <w:tblPrEx>
          <w:tblLayout w:type="fixed"/>
          <w:tblCellMar>
            <w:top w:w="0" w:type="dxa"/>
            <w:left w:w="108" w:type="dxa"/>
            <w:bottom w:w="0" w:type="dxa"/>
            <w:right w:w="108" w:type="dxa"/>
          </w:tblCellMar>
        </w:tblPrEx>
        <w:trPr>
          <w:trHeight w:val="312" w:hRule="atLeast"/>
        </w:trPr>
        <w:tc>
          <w:tcPr>
            <w:tcW w:w="5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9</w:t>
            </w:r>
          </w:p>
        </w:tc>
        <w:tc>
          <w:tcPr>
            <w:tcW w:w="2241"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勐宋乡集镇供水水源地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勐宋乡</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曼西良水库</w:t>
            </w:r>
          </w:p>
        </w:tc>
        <w:tc>
          <w:tcPr>
            <w:tcW w:w="216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已划定，待批复</w:t>
            </w:r>
          </w:p>
        </w:tc>
      </w:tr>
      <w:tr>
        <w:tblPrEx>
          <w:tblLayout w:type="fixed"/>
          <w:tblCellMar>
            <w:top w:w="0" w:type="dxa"/>
            <w:left w:w="108" w:type="dxa"/>
            <w:bottom w:w="0" w:type="dxa"/>
            <w:right w:w="108" w:type="dxa"/>
          </w:tblCellMar>
        </w:tblPrEx>
        <w:trPr>
          <w:trHeight w:val="312" w:hRule="atLeast"/>
        </w:trPr>
        <w:tc>
          <w:tcPr>
            <w:tcW w:w="5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10</w:t>
            </w:r>
          </w:p>
        </w:tc>
        <w:tc>
          <w:tcPr>
            <w:tcW w:w="2241"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布朗山乡集镇供水水源地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布朗山乡</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卫东河</w:t>
            </w:r>
          </w:p>
        </w:tc>
        <w:tc>
          <w:tcPr>
            <w:tcW w:w="216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未划定</w:t>
            </w:r>
          </w:p>
        </w:tc>
      </w:tr>
      <w:tr>
        <w:tblPrEx>
          <w:tblLayout w:type="fixed"/>
          <w:tblCellMar>
            <w:top w:w="0" w:type="dxa"/>
            <w:left w:w="108" w:type="dxa"/>
            <w:bottom w:w="0" w:type="dxa"/>
            <w:right w:w="108" w:type="dxa"/>
          </w:tblCellMar>
        </w:tblPrEx>
        <w:trPr>
          <w:trHeight w:val="480" w:hRule="atLeast"/>
        </w:trPr>
        <w:tc>
          <w:tcPr>
            <w:tcW w:w="5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11</w:t>
            </w:r>
          </w:p>
        </w:tc>
        <w:tc>
          <w:tcPr>
            <w:tcW w:w="2241"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西定乡集镇供水水源地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西定乡</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帕蚌河上游支流无名山箐（大黑山）</w:t>
            </w:r>
          </w:p>
        </w:tc>
        <w:tc>
          <w:tcPr>
            <w:tcW w:w="216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未划定</w:t>
            </w:r>
          </w:p>
        </w:tc>
      </w:tr>
      <w:tr>
        <w:tblPrEx>
          <w:tblLayout w:type="fixed"/>
          <w:tblCellMar>
            <w:top w:w="0" w:type="dxa"/>
            <w:left w:w="108" w:type="dxa"/>
            <w:bottom w:w="0" w:type="dxa"/>
            <w:right w:w="108" w:type="dxa"/>
          </w:tblCellMar>
        </w:tblPrEx>
        <w:trPr>
          <w:trHeight w:val="480" w:hRule="atLeast"/>
        </w:trPr>
        <w:tc>
          <w:tcPr>
            <w:tcW w:w="5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12</w:t>
            </w:r>
          </w:p>
        </w:tc>
        <w:tc>
          <w:tcPr>
            <w:tcW w:w="2241"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勐往乡集镇供水水源地</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勐往乡</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勐往河支流蚌蛾箐（蚌蛾小组）和（曼糯水库）</w:t>
            </w:r>
          </w:p>
        </w:tc>
        <w:tc>
          <w:tcPr>
            <w:tcW w:w="2165"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未划定</w:t>
            </w:r>
          </w:p>
        </w:tc>
      </w:tr>
    </w:tbl>
    <w:p>
      <w:pPr>
        <w:pStyle w:val="3"/>
        <w:ind w:firstLine="576"/>
      </w:pPr>
    </w:p>
    <w:p>
      <w:pPr>
        <w:pStyle w:val="5"/>
        <w:rPr>
          <w:rFonts w:ascii="Times New Roman" w:hAnsi="Times New Roman"/>
        </w:rPr>
      </w:pPr>
      <w:r>
        <w:rPr>
          <w:rFonts w:ascii="Times New Roman" w:hAnsi="Times New Roman"/>
        </w:rPr>
        <w:t>水功能区划情况</w:t>
      </w:r>
    </w:p>
    <w:p>
      <w:pPr>
        <w:pStyle w:val="3"/>
        <w:ind w:firstLine="576"/>
      </w:pPr>
      <w:commentRangeStart w:id="4"/>
      <w:r>
        <w:t>勐海县</w:t>
      </w:r>
      <w:commentRangeEnd w:id="4"/>
      <w:r>
        <w:rPr>
          <w:rStyle w:val="39"/>
          <w:rFonts w:ascii="宋体" w:hAnsi="宋体" w:eastAsia="宋体"/>
          <w:color w:val="000000"/>
          <w:spacing w:val="0"/>
        </w:rPr>
        <w:commentReference w:id="4"/>
      </w:r>
      <w:r>
        <w:t>共涉及18个一级水功能区，包括2个保护区、1</w:t>
      </w:r>
      <w:r>
        <w:rPr>
          <w:rFonts w:eastAsia="Times New Roman"/>
        </w:rPr>
        <w:t>0</w:t>
      </w:r>
      <w:r>
        <w:t>个保留区和6个开发利用区</w:t>
      </w:r>
      <w:r>
        <w:rPr>
          <w:rFonts w:hint="eastAsia"/>
        </w:rPr>
        <w:t>；6个二级水功能区，包括2个饮用水源区、1个工业用水区和3个农业用水区</w:t>
      </w:r>
      <w:r>
        <w:t>。各水功能区水质较好，均为Ⅱ~Ⅲ类。</w:t>
      </w:r>
    </w:p>
    <w:p>
      <w:pPr>
        <w:pStyle w:val="13"/>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t>.</w:t>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 xml:space="preserve"> 勐海县一级水功能区统计表</w:t>
      </w:r>
    </w:p>
    <w:tbl>
      <w:tblPr>
        <w:tblStyle w:val="32"/>
        <w:tblW w:w="8936" w:type="dxa"/>
        <w:tblInd w:w="0" w:type="dxa"/>
        <w:tblLayout w:type="fixed"/>
        <w:tblCellMar>
          <w:top w:w="0" w:type="dxa"/>
          <w:left w:w="108" w:type="dxa"/>
          <w:bottom w:w="0" w:type="dxa"/>
          <w:right w:w="108" w:type="dxa"/>
        </w:tblCellMar>
      </w:tblPr>
      <w:tblGrid>
        <w:gridCol w:w="817"/>
        <w:gridCol w:w="424"/>
        <w:gridCol w:w="2127"/>
        <w:gridCol w:w="3262"/>
        <w:gridCol w:w="851"/>
        <w:gridCol w:w="708"/>
        <w:gridCol w:w="747"/>
      </w:tblGrid>
      <w:tr>
        <w:tblPrEx>
          <w:tblLayout w:type="fixed"/>
          <w:tblCellMar>
            <w:top w:w="0" w:type="dxa"/>
            <w:left w:w="108" w:type="dxa"/>
            <w:bottom w:w="0" w:type="dxa"/>
            <w:right w:w="108" w:type="dxa"/>
          </w:tblCellMar>
        </w:tblPrEx>
        <w:trPr>
          <w:trHeight w:val="312" w:hRule="atLeast"/>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水功能区</w:t>
            </w:r>
          </w:p>
        </w:tc>
        <w:tc>
          <w:tcPr>
            <w:tcW w:w="42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数量</w:t>
            </w:r>
          </w:p>
        </w:tc>
        <w:tc>
          <w:tcPr>
            <w:tcW w:w="212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水功能区名称</w:t>
            </w:r>
          </w:p>
        </w:tc>
        <w:tc>
          <w:tcPr>
            <w:tcW w:w="326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位置</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长度（km）</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现状水质</w:t>
            </w:r>
          </w:p>
        </w:tc>
        <w:tc>
          <w:tcPr>
            <w:tcW w:w="74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目标水质</w:t>
            </w:r>
          </w:p>
        </w:tc>
      </w:tr>
      <w:tr>
        <w:tblPrEx>
          <w:tblLayout w:type="fixed"/>
          <w:tblCellMar>
            <w:top w:w="0" w:type="dxa"/>
            <w:left w:w="108" w:type="dxa"/>
            <w:bottom w:w="0" w:type="dxa"/>
            <w:right w:w="108" w:type="dxa"/>
          </w:tblCellMar>
        </w:tblPrEx>
        <w:trPr>
          <w:trHeight w:val="324" w:hRule="atLeast"/>
        </w:trPr>
        <w:tc>
          <w:tcPr>
            <w:tcW w:w="8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保护区</w:t>
            </w:r>
          </w:p>
        </w:tc>
        <w:tc>
          <w:tcPr>
            <w:tcW w:w="42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2</w:t>
            </w: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南阿河勐海～景洪源头水保护区</w:t>
            </w:r>
          </w:p>
        </w:tc>
        <w:tc>
          <w:tcPr>
            <w:tcW w:w="326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南阿河源头曼峨村至景洪市勐龙镇曼光罕村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52</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w:t>
            </w:r>
          </w:p>
        </w:tc>
      </w:tr>
      <w:tr>
        <w:tblPrEx>
          <w:tblLayout w:type="fixed"/>
          <w:tblCellMar>
            <w:top w:w="0" w:type="dxa"/>
            <w:left w:w="108" w:type="dxa"/>
            <w:bottom w:w="0" w:type="dxa"/>
            <w:right w:w="108" w:type="dxa"/>
          </w:tblCellMar>
        </w:tblPrEx>
        <w:trPr>
          <w:trHeight w:val="288"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曼浪河勐海保护区</w:t>
            </w:r>
          </w:p>
        </w:tc>
        <w:tc>
          <w:tcPr>
            <w:tcW w:w="326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曼浪河源头桦竹梁子东至入南安河口</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20</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w:t>
            </w:r>
          </w:p>
        </w:tc>
      </w:tr>
      <w:tr>
        <w:tblPrEx>
          <w:tblLayout w:type="fixed"/>
          <w:tblCellMar>
            <w:top w:w="0" w:type="dxa"/>
            <w:left w:w="108" w:type="dxa"/>
            <w:bottom w:w="0" w:type="dxa"/>
            <w:right w:w="108" w:type="dxa"/>
          </w:tblCellMar>
        </w:tblPrEx>
        <w:trPr>
          <w:trHeight w:val="324" w:hRule="atLeast"/>
        </w:trPr>
        <w:tc>
          <w:tcPr>
            <w:tcW w:w="8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保留区</w:t>
            </w:r>
          </w:p>
        </w:tc>
        <w:tc>
          <w:tcPr>
            <w:tcW w:w="42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10</w:t>
            </w: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南安河勐海保留区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南安河入州境处那丙至澜沧江口</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59.2</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Ⅱ～Ⅲ</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r>
      <w:tr>
        <w:tblPrEx>
          <w:tblLayout w:type="fixed"/>
          <w:tblCellMar>
            <w:top w:w="0" w:type="dxa"/>
            <w:left w:w="108" w:type="dxa"/>
            <w:bottom w:w="0" w:type="dxa"/>
            <w:right w:w="108" w:type="dxa"/>
          </w:tblCellMar>
        </w:tblPrEx>
        <w:trPr>
          <w:trHeight w:val="288"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南拉河勐海保留区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南拉河入州境处景迈至230界碑</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100</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r>
      <w:tr>
        <w:tblPrEx>
          <w:tblLayout w:type="fixed"/>
          <w:tblCellMar>
            <w:top w:w="0" w:type="dxa"/>
            <w:left w:w="108" w:type="dxa"/>
            <w:bottom w:w="0" w:type="dxa"/>
            <w:right w:w="108" w:type="dxa"/>
          </w:tblCellMar>
        </w:tblPrEx>
        <w:trPr>
          <w:trHeight w:val="288"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勐往河勐海保留区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勐往河右支源头坝散至入澜沧江口</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37.9</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r>
      <w:tr>
        <w:tblPrEx>
          <w:tblLayout w:type="fixed"/>
          <w:tblCellMar>
            <w:top w:w="0" w:type="dxa"/>
            <w:left w:w="108" w:type="dxa"/>
            <w:bottom w:w="0" w:type="dxa"/>
            <w:right w:w="108" w:type="dxa"/>
          </w:tblCellMar>
        </w:tblPrEx>
        <w:trPr>
          <w:trHeight w:val="288"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南啊河勐海保留区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南啊河源头芒兴龙新寨至入南安河口</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34.3</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r>
      <w:tr>
        <w:tblPrEx>
          <w:tblLayout w:type="fixed"/>
          <w:tblCellMar>
            <w:top w:w="0" w:type="dxa"/>
            <w:left w:w="108" w:type="dxa"/>
            <w:bottom w:w="0" w:type="dxa"/>
            <w:right w:w="108" w:type="dxa"/>
          </w:tblCellMar>
        </w:tblPrEx>
        <w:trPr>
          <w:trHeight w:val="288"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南碰河勐海保留区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南碰河源头老苗地至入南安河口</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24</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r>
      <w:tr>
        <w:tblPrEx>
          <w:tblLayout w:type="fixed"/>
          <w:tblCellMar>
            <w:top w:w="0" w:type="dxa"/>
            <w:left w:w="108" w:type="dxa"/>
            <w:bottom w:w="0" w:type="dxa"/>
            <w:right w:w="108" w:type="dxa"/>
          </w:tblCellMar>
        </w:tblPrEx>
        <w:trPr>
          <w:trHeight w:val="288"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南木河勐海保留区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南木河源头坝勐至入流沙河口</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25</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r>
      <w:tr>
        <w:tblPrEx>
          <w:tblLayout w:type="fixed"/>
          <w:tblCellMar>
            <w:top w:w="0" w:type="dxa"/>
            <w:left w:w="108" w:type="dxa"/>
            <w:bottom w:w="0" w:type="dxa"/>
            <w:right w:w="108" w:type="dxa"/>
          </w:tblCellMar>
        </w:tblPrEx>
        <w:trPr>
          <w:trHeight w:val="288"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南满河勐海县保留区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南满河源头密蚌河老寨至入南拉河口</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20.7</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r>
      <w:tr>
        <w:tblPrEx>
          <w:tblLayout w:type="fixed"/>
          <w:tblCellMar>
            <w:top w:w="0" w:type="dxa"/>
            <w:left w:w="108" w:type="dxa"/>
            <w:bottom w:w="0" w:type="dxa"/>
            <w:right w:w="108" w:type="dxa"/>
          </w:tblCellMar>
        </w:tblPrEx>
        <w:trPr>
          <w:trHeight w:val="288"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南佬河勐海保留区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南佬河源头南弄老寨至入南拉河口</w:t>
            </w:r>
          </w:p>
        </w:tc>
        <w:tc>
          <w:tcPr>
            <w:tcW w:w="851"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35</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r>
      <w:tr>
        <w:tblPrEx>
          <w:tblLayout w:type="fixed"/>
          <w:tblCellMar>
            <w:top w:w="0" w:type="dxa"/>
            <w:left w:w="108" w:type="dxa"/>
            <w:bottom w:w="0" w:type="dxa"/>
            <w:right w:w="108" w:type="dxa"/>
          </w:tblCellMar>
        </w:tblPrEx>
        <w:trPr>
          <w:trHeight w:val="288"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南披河勐海保留区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南披河源头安乐村至入南拉河口</w:t>
            </w:r>
          </w:p>
        </w:tc>
        <w:tc>
          <w:tcPr>
            <w:tcW w:w="851"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40</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r>
      <w:tr>
        <w:tblPrEx>
          <w:tblLayout w:type="fixed"/>
          <w:tblCellMar>
            <w:top w:w="0" w:type="dxa"/>
            <w:left w:w="108" w:type="dxa"/>
            <w:bottom w:w="0" w:type="dxa"/>
            <w:right w:w="108" w:type="dxa"/>
          </w:tblCellMar>
        </w:tblPrEx>
        <w:trPr>
          <w:trHeight w:val="288"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南木介河勐海保留区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南木介河源头囡丫桃至入南拉河口</w:t>
            </w:r>
          </w:p>
        </w:tc>
        <w:tc>
          <w:tcPr>
            <w:tcW w:w="851"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47</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r>
      <w:tr>
        <w:tblPrEx>
          <w:tblLayout w:type="fixed"/>
          <w:tblCellMar>
            <w:top w:w="0" w:type="dxa"/>
            <w:left w:w="108" w:type="dxa"/>
            <w:bottom w:w="0" w:type="dxa"/>
            <w:right w:w="108" w:type="dxa"/>
          </w:tblCellMar>
        </w:tblPrEx>
        <w:trPr>
          <w:trHeight w:val="324" w:hRule="atLeast"/>
        </w:trPr>
        <w:tc>
          <w:tcPr>
            <w:tcW w:w="8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开发利用区</w:t>
            </w:r>
          </w:p>
        </w:tc>
        <w:tc>
          <w:tcPr>
            <w:tcW w:w="42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6</w:t>
            </w:r>
          </w:p>
        </w:tc>
        <w:tc>
          <w:tcPr>
            <w:tcW w:w="212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流沙河勐海～景洪开发利用区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流沙河源头三棵桩至景洪市曼听村入澜沧江口</w:t>
            </w:r>
          </w:p>
        </w:tc>
        <w:tc>
          <w:tcPr>
            <w:tcW w:w="851"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128.7</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　</w:t>
            </w:r>
          </w:p>
        </w:tc>
      </w:tr>
      <w:tr>
        <w:tblPrEx>
          <w:tblLayout w:type="fixed"/>
          <w:tblCellMar>
            <w:top w:w="0" w:type="dxa"/>
            <w:left w:w="108" w:type="dxa"/>
            <w:bottom w:w="0" w:type="dxa"/>
            <w:right w:w="108" w:type="dxa"/>
          </w:tblCellMar>
        </w:tblPrEx>
        <w:trPr>
          <w:trHeight w:val="288"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南哈河勐海开发利用区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南哈河源头星火老寨至入流沙河口</w:t>
            </w:r>
          </w:p>
        </w:tc>
        <w:tc>
          <w:tcPr>
            <w:tcW w:w="851"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30.5</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　</w:t>
            </w:r>
          </w:p>
        </w:tc>
      </w:tr>
      <w:tr>
        <w:tblPrEx>
          <w:tblLayout w:type="fixed"/>
          <w:tblCellMar>
            <w:top w:w="0" w:type="dxa"/>
            <w:left w:w="108" w:type="dxa"/>
            <w:bottom w:w="0" w:type="dxa"/>
            <w:right w:w="108" w:type="dxa"/>
          </w:tblCellMar>
        </w:tblPrEx>
        <w:trPr>
          <w:trHeight w:val="312"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南木央河勐海开发利用区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南木央河源头怕司老寨至入南哈河口</w:t>
            </w:r>
          </w:p>
        </w:tc>
        <w:tc>
          <w:tcPr>
            <w:tcW w:w="851"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37.3</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　</w:t>
            </w:r>
          </w:p>
        </w:tc>
      </w:tr>
      <w:tr>
        <w:tblPrEx>
          <w:tblLayout w:type="fixed"/>
          <w:tblCellMar>
            <w:top w:w="0" w:type="dxa"/>
            <w:left w:w="108" w:type="dxa"/>
            <w:bottom w:w="0" w:type="dxa"/>
            <w:right w:w="108" w:type="dxa"/>
          </w:tblCellMar>
        </w:tblPrEx>
        <w:trPr>
          <w:trHeight w:val="312"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南混河勐海开发利用区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南混河源头苏湖村至入流沙河口</w:t>
            </w:r>
          </w:p>
        </w:tc>
        <w:tc>
          <w:tcPr>
            <w:tcW w:w="851"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29.6</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Ⅲ</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　</w:t>
            </w:r>
          </w:p>
        </w:tc>
      </w:tr>
      <w:tr>
        <w:tblPrEx>
          <w:tblLayout w:type="fixed"/>
          <w:tblCellMar>
            <w:top w:w="0" w:type="dxa"/>
            <w:left w:w="108" w:type="dxa"/>
            <w:bottom w:w="0" w:type="dxa"/>
            <w:right w:w="108" w:type="dxa"/>
          </w:tblCellMar>
        </w:tblPrEx>
        <w:trPr>
          <w:trHeight w:val="312"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南木令河勐海开发利用区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南木令河源头至勐邦水库坝址</w:t>
            </w:r>
          </w:p>
        </w:tc>
        <w:tc>
          <w:tcPr>
            <w:tcW w:w="851"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21</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　</w:t>
            </w:r>
          </w:p>
        </w:tc>
      </w:tr>
      <w:tr>
        <w:tblPrEx>
          <w:tblLayout w:type="fixed"/>
          <w:tblCellMar>
            <w:top w:w="0" w:type="dxa"/>
            <w:left w:w="108" w:type="dxa"/>
            <w:bottom w:w="0" w:type="dxa"/>
            <w:right w:w="108" w:type="dxa"/>
          </w:tblCellMar>
        </w:tblPrEx>
        <w:trPr>
          <w:trHeight w:val="288" w:hRule="atLeast"/>
        </w:trPr>
        <w:tc>
          <w:tcPr>
            <w:tcW w:w="81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42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kern w:val="0"/>
                <w:sz w:val="20"/>
                <w:szCs w:val="20"/>
              </w:rPr>
            </w:pPr>
          </w:p>
        </w:tc>
        <w:tc>
          <w:tcPr>
            <w:tcW w:w="212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曼丹河勐海开发利用区</w:t>
            </w:r>
          </w:p>
        </w:tc>
        <w:tc>
          <w:tcPr>
            <w:tcW w:w="326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仿宋_GB2312"/>
                <w:kern w:val="0"/>
                <w:sz w:val="20"/>
                <w:szCs w:val="20"/>
              </w:rPr>
            </w:pPr>
            <w:r>
              <w:rPr>
                <w:rFonts w:ascii="Times New Roman" w:hAnsi="Times New Roman" w:eastAsia="仿宋_GB2312"/>
                <w:kern w:val="0"/>
                <w:sz w:val="20"/>
                <w:szCs w:val="20"/>
              </w:rPr>
              <w:t>曼丹河源头至曼丹水库坝址</w:t>
            </w:r>
          </w:p>
        </w:tc>
        <w:tc>
          <w:tcPr>
            <w:tcW w:w="851"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4</w:t>
            </w:r>
          </w:p>
        </w:tc>
        <w:tc>
          <w:tcPr>
            <w:tcW w:w="708"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Ⅱ</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　</w:t>
            </w:r>
          </w:p>
        </w:tc>
      </w:tr>
      <w:tr>
        <w:tblPrEx>
          <w:tblLayout w:type="fixed"/>
          <w:tblCellMar>
            <w:top w:w="0" w:type="dxa"/>
            <w:left w:w="108" w:type="dxa"/>
            <w:bottom w:w="0" w:type="dxa"/>
            <w:right w:w="108" w:type="dxa"/>
          </w:tblCellMar>
        </w:tblPrEx>
        <w:trPr>
          <w:trHeight w:val="324" w:hRule="atLeast"/>
        </w:trPr>
        <w:tc>
          <w:tcPr>
            <w:tcW w:w="8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合  计</w:t>
            </w:r>
          </w:p>
        </w:tc>
        <w:tc>
          <w:tcPr>
            <w:tcW w:w="42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18</w:t>
            </w:r>
          </w:p>
        </w:tc>
        <w:tc>
          <w:tcPr>
            <w:tcW w:w="21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　</w:t>
            </w:r>
          </w:p>
        </w:tc>
        <w:tc>
          <w:tcPr>
            <w:tcW w:w="326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746.2</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　</w:t>
            </w:r>
          </w:p>
        </w:tc>
        <w:tc>
          <w:tcPr>
            <w:tcW w:w="74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szCs w:val="20"/>
              </w:rPr>
            </w:pPr>
            <w:r>
              <w:rPr>
                <w:rFonts w:ascii="Times New Roman" w:hAnsi="Times New Roman" w:eastAsia="仿宋_GB2312"/>
                <w:kern w:val="0"/>
                <w:sz w:val="20"/>
                <w:szCs w:val="20"/>
              </w:rPr>
              <w:t>　</w:t>
            </w:r>
          </w:p>
        </w:tc>
      </w:tr>
    </w:tbl>
    <w:p>
      <w:pPr>
        <w:pStyle w:val="3"/>
        <w:ind w:firstLine="576"/>
      </w:pPr>
    </w:p>
    <w:p>
      <w:pPr>
        <w:pStyle w:val="13"/>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t>.</w:t>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勐海县二级水功能区统计表</w:t>
      </w:r>
    </w:p>
    <w:tbl>
      <w:tblPr>
        <w:tblStyle w:val="32"/>
        <w:tblW w:w="8936" w:type="dxa"/>
        <w:tblInd w:w="0" w:type="dxa"/>
        <w:tblLayout w:type="fixed"/>
        <w:tblCellMar>
          <w:top w:w="0" w:type="dxa"/>
          <w:left w:w="108" w:type="dxa"/>
          <w:bottom w:w="0" w:type="dxa"/>
          <w:right w:w="108" w:type="dxa"/>
        </w:tblCellMar>
      </w:tblPr>
      <w:tblGrid>
        <w:gridCol w:w="1103"/>
        <w:gridCol w:w="849"/>
        <w:gridCol w:w="2272"/>
        <w:gridCol w:w="2146"/>
        <w:gridCol w:w="979"/>
        <w:gridCol w:w="795"/>
        <w:gridCol w:w="792"/>
      </w:tblGrid>
      <w:tr>
        <w:tblPrEx>
          <w:tblLayout w:type="fixed"/>
          <w:tblCellMar>
            <w:top w:w="0" w:type="dxa"/>
            <w:left w:w="108" w:type="dxa"/>
            <w:bottom w:w="0" w:type="dxa"/>
            <w:right w:w="108" w:type="dxa"/>
          </w:tblCellMar>
        </w:tblPrEx>
        <w:trPr>
          <w:trHeight w:val="288" w:hRule="atLeast"/>
        </w:trPr>
        <w:tc>
          <w:tcPr>
            <w:tcW w:w="110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水功能区</w:t>
            </w:r>
          </w:p>
        </w:tc>
        <w:tc>
          <w:tcPr>
            <w:tcW w:w="84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hint="eastAsia" w:ascii="Times New Roman" w:hAnsi="Times New Roman" w:eastAsia="仿宋_GB2312"/>
                <w:kern w:val="0"/>
                <w:sz w:val="20"/>
              </w:rPr>
              <w:t>数量</w:t>
            </w:r>
          </w:p>
        </w:tc>
        <w:tc>
          <w:tcPr>
            <w:tcW w:w="22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水功能区名称</w:t>
            </w:r>
          </w:p>
        </w:tc>
        <w:tc>
          <w:tcPr>
            <w:tcW w:w="214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位置</w:t>
            </w:r>
          </w:p>
        </w:tc>
        <w:tc>
          <w:tcPr>
            <w:tcW w:w="97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长度（km）</w:t>
            </w:r>
          </w:p>
        </w:tc>
        <w:tc>
          <w:tcPr>
            <w:tcW w:w="7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现状水质</w:t>
            </w:r>
          </w:p>
        </w:tc>
        <w:tc>
          <w:tcPr>
            <w:tcW w:w="7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目标水质</w:t>
            </w:r>
          </w:p>
        </w:tc>
      </w:tr>
      <w:tr>
        <w:tblPrEx>
          <w:tblLayout w:type="fixed"/>
          <w:tblCellMar>
            <w:top w:w="0" w:type="dxa"/>
            <w:left w:w="108" w:type="dxa"/>
            <w:bottom w:w="0" w:type="dxa"/>
            <w:right w:w="108" w:type="dxa"/>
          </w:tblCellMar>
        </w:tblPrEx>
        <w:trPr>
          <w:trHeight w:val="276" w:hRule="atLeast"/>
        </w:trPr>
        <w:tc>
          <w:tcPr>
            <w:tcW w:w="110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饮用水源区</w:t>
            </w:r>
          </w:p>
        </w:tc>
        <w:tc>
          <w:tcPr>
            <w:tcW w:w="849"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2</w:t>
            </w:r>
          </w:p>
        </w:tc>
        <w:tc>
          <w:tcPr>
            <w:tcW w:w="227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南木令河勐海饮用水源区</w:t>
            </w:r>
          </w:p>
        </w:tc>
        <w:tc>
          <w:tcPr>
            <w:tcW w:w="214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auto"/>
                <w:kern w:val="0"/>
                <w:sz w:val="20"/>
              </w:rPr>
            </w:pPr>
            <w:r>
              <w:rPr>
                <w:rFonts w:ascii="Times New Roman" w:hAnsi="Times New Roman" w:eastAsia="仿宋_GB2312"/>
                <w:color w:val="auto"/>
                <w:kern w:val="0"/>
                <w:sz w:val="20"/>
              </w:rPr>
              <w:t>南木令河源头至勐邦水库坝址</w:t>
            </w:r>
          </w:p>
        </w:tc>
        <w:tc>
          <w:tcPr>
            <w:tcW w:w="9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21</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Ⅱ</w:t>
            </w:r>
          </w:p>
        </w:tc>
        <w:tc>
          <w:tcPr>
            <w:tcW w:w="7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Ⅱ</w:t>
            </w:r>
          </w:p>
        </w:tc>
      </w:tr>
      <w:tr>
        <w:tblPrEx>
          <w:tblLayout w:type="fixed"/>
          <w:tblCellMar>
            <w:top w:w="0" w:type="dxa"/>
            <w:left w:w="108" w:type="dxa"/>
            <w:bottom w:w="0" w:type="dxa"/>
            <w:right w:w="108" w:type="dxa"/>
          </w:tblCellMar>
        </w:tblPrEx>
        <w:trPr>
          <w:trHeight w:val="240" w:hRule="atLeast"/>
        </w:trPr>
        <w:tc>
          <w:tcPr>
            <w:tcW w:w="1103"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kern w:val="0"/>
                <w:sz w:val="20"/>
              </w:rPr>
            </w:pPr>
          </w:p>
        </w:tc>
        <w:tc>
          <w:tcPr>
            <w:tcW w:w="849"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kern w:val="0"/>
                <w:sz w:val="20"/>
              </w:rPr>
            </w:pPr>
          </w:p>
        </w:tc>
        <w:tc>
          <w:tcPr>
            <w:tcW w:w="227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曼丹河勐海饮用饮用、农业用水区</w:t>
            </w:r>
          </w:p>
        </w:tc>
        <w:tc>
          <w:tcPr>
            <w:tcW w:w="214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曼丹河源头至曼丹水库坝址</w:t>
            </w:r>
          </w:p>
        </w:tc>
        <w:tc>
          <w:tcPr>
            <w:tcW w:w="9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4</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auto"/>
                <w:kern w:val="0"/>
                <w:sz w:val="20"/>
              </w:rPr>
            </w:pPr>
            <w:r>
              <w:rPr>
                <w:rFonts w:ascii="Times New Roman" w:hAnsi="Times New Roman" w:eastAsia="仿宋_GB2312"/>
                <w:color w:val="auto"/>
                <w:kern w:val="0"/>
                <w:sz w:val="20"/>
              </w:rPr>
              <w:t>Ⅱ～Ⅲ</w:t>
            </w:r>
          </w:p>
        </w:tc>
        <w:tc>
          <w:tcPr>
            <w:tcW w:w="7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Ⅲ</w:t>
            </w:r>
          </w:p>
        </w:tc>
      </w:tr>
      <w:tr>
        <w:tblPrEx>
          <w:tblLayout w:type="fixed"/>
          <w:tblCellMar>
            <w:top w:w="0" w:type="dxa"/>
            <w:left w:w="108" w:type="dxa"/>
            <w:bottom w:w="0" w:type="dxa"/>
            <w:right w:w="108" w:type="dxa"/>
          </w:tblCellMar>
        </w:tblPrEx>
        <w:trPr>
          <w:trHeight w:val="276" w:hRule="atLeast"/>
        </w:trPr>
        <w:tc>
          <w:tcPr>
            <w:tcW w:w="110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工业用水区</w:t>
            </w:r>
          </w:p>
        </w:tc>
        <w:tc>
          <w:tcPr>
            <w:tcW w:w="84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1</w:t>
            </w:r>
          </w:p>
        </w:tc>
        <w:tc>
          <w:tcPr>
            <w:tcW w:w="227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流沙河勐海工业、农业用水区</w:t>
            </w:r>
          </w:p>
        </w:tc>
        <w:tc>
          <w:tcPr>
            <w:tcW w:w="214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流沙河源头三棵桩至勐海水文站</w:t>
            </w:r>
          </w:p>
        </w:tc>
        <w:tc>
          <w:tcPr>
            <w:tcW w:w="9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70.2</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Ⅲ</w:t>
            </w:r>
          </w:p>
        </w:tc>
        <w:tc>
          <w:tcPr>
            <w:tcW w:w="7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Ⅲ</w:t>
            </w:r>
          </w:p>
        </w:tc>
      </w:tr>
      <w:tr>
        <w:tblPrEx>
          <w:tblLayout w:type="fixed"/>
          <w:tblCellMar>
            <w:top w:w="0" w:type="dxa"/>
            <w:left w:w="108" w:type="dxa"/>
            <w:bottom w:w="0" w:type="dxa"/>
            <w:right w:w="108" w:type="dxa"/>
          </w:tblCellMar>
        </w:tblPrEx>
        <w:trPr>
          <w:trHeight w:val="276" w:hRule="atLeast"/>
        </w:trPr>
        <w:tc>
          <w:tcPr>
            <w:tcW w:w="110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农业用水区</w:t>
            </w:r>
          </w:p>
        </w:tc>
        <w:tc>
          <w:tcPr>
            <w:tcW w:w="849"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3</w:t>
            </w:r>
          </w:p>
        </w:tc>
        <w:tc>
          <w:tcPr>
            <w:tcW w:w="227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南哈河勐海农业用水区</w:t>
            </w:r>
          </w:p>
        </w:tc>
        <w:tc>
          <w:tcPr>
            <w:tcW w:w="214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南哈河源头星火老寨至入流沙河口</w:t>
            </w:r>
          </w:p>
        </w:tc>
        <w:tc>
          <w:tcPr>
            <w:tcW w:w="9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30.5</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Ⅲ</w:t>
            </w:r>
          </w:p>
        </w:tc>
        <w:tc>
          <w:tcPr>
            <w:tcW w:w="7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Ⅲ</w:t>
            </w:r>
          </w:p>
        </w:tc>
      </w:tr>
      <w:tr>
        <w:tblPrEx>
          <w:tblLayout w:type="fixed"/>
          <w:tblCellMar>
            <w:top w:w="0" w:type="dxa"/>
            <w:left w:w="108" w:type="dxa"/>
            <w:bottom w:w="0" w:type="dxa"/>
            <w:right w:w="108" w:type="dxa"/>
          </w:tblCellMar>
        </w:tblPrEx>
        <w:trPr>
          <w:trHeight w:val="276" w:hRule="atLeast"/>
        </w:trPr>
        <w:tc>
          <w:tcPr>
            <w:tcW w:w="1103"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kern w:val="0"/>
                <w:sz w:val="20"/>
              </w:rPr>
            </w:pPr>
          </w:p>
        </w:tc>
        <w:tc>
          <w:tcPr>
            <w:tcW w:w="849"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kern w:val="0"/>
                <w:sz w:val="20"/>
              </w:rPr>
            </w:pPr>
          </w:p>
        </w:tc>
        <w:tc>
          <w:tcPr>
            <w:tcW w:w="227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南木央河勐海农业用水区</w:t>
            </w:r>
          </w:p>
        </w:tc>
        <w:tc>
          <w:tcPr>
            <w:tcW w:w="214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南木央河源头怕司老寨至入南哈河口</w:t>
            </w:r>
          </w:p>
        </w:tc>
        <w:tc>
          <w:tcPr>
            <w:tcW w:w="9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37.3</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Ⅲ</w:t>
            </w:r>
          </w:p>
        </w:tc>
        <w:tc>
          <w:tcPr>
            <w:tcW w:w="7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Ⅲ</w:t>
            </w:r>
          </w:p>
        </w:tc>
      </w:tr>
      <w:tr>
        <w:tblPrEx>
          <w:tblLayout w:type="fixed"/>
          <w:tblCellMar>
            <w:top w:w="0" w:type="dxa"/>
            <w:left w:w="108" w:type="dxa"/>
            <w:bottom w:w="0" w:type="dxa"/>
            <w:right w:w="108" w:type="dxa"/>
          </w:tblCellMar>
        </w:tblPrEx>
        <w:trPr>
          <w:trHeight w:val="276" w:hRule="atLeast"/>
        </w:trPr>
        <w:tc>
          <w:tcPr>
            <w:tcW w:w="1103"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kern w:val="0"/>
                <w:sz w:val="20"/>
              </w:rPr>
            </w:pPr>
          </w:p>
        </w:tc>
        <w:tc>
          <w:tcPr>
            <w:tcW w:w="849"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kern w:val="0"/>
                <w:sz w:val="20"/>
              </w:rPr>
            </w:pPr>
          </w:p>
        </w:tc>
        <w:tc>
          <w:tcPr>
            <w:tcW w:w="227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南混河勐海农业用水区</w:t>
            </w:r>
          </w:p>
        </w:tc>
        <w:tc>
          <w:tcPr>
            <w:tcW w:w="214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南混河源头苏湖村至入流沙河口</w:t>
            </w:r>
          </w:p>
        </w:tc>
        <w:tc>
          <w:tcPr>
            <w:tcW w:w="9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29.6</w:t>
            </w:r>
          </w:p>
        </w:tc>
        <w:tc>
          <w:tcPr>
            <w:tcW w:w="79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Ⅲ</w:t>
            </w:r>
          </w:p>
        </w:tc>
        <w:tc>
          <w:tcPr>
            <w:tcW w:w="79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kern w:val="0"/>
                <w:sz w:val="20"/>
              </w:rPr>
            </w:pPr>
            <w:r>
              <w:rPr>
                <w:rFonts w:ascii="Times New Roman" w:hAnsi="Times New Roman" w:eastAsia="仿宋_GB2312"/>
                <w:kern w:val="0"/>
                <w:sz w:val="20"/>
              </w:rPr>
              <w:t>Ⅲ</w:t>
            </w:r>
          </w:p>
        </w:tc>
      </w:tr>
      <w:tr>
        <w:tblPrEx>
          <w:tblLayout w:type="fixed"/>
          <w:tblCellMar>
            <w:top w:w="0" w:type="dxa"/>
            <w:left w:w="108" w:type="dxa"/>
            <w:bottom w:w="0" w:type="dxa"/>
            <w:right w:w="108" w:type="dxa"/>
          </w:tblCellMar>
        </w:tblPrEx>
        <w:trPr>
          <w:trHeight w:val="276" w:hRule="atLeast"/>
        </w:trPr>
        <w:tc>
          <w:tcPr>
            <w:tcW w:w="1103"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rPr>
            </w:pPr>
            <w:r>
              <w:rPr>
                <w:rFonts w:ascii="Times New Roman" w:hAnsi="Times New Roman" w:eastAsia="仿宋_GB2312"/>
                <w:kern w:val="0"/>
                <w:sz w:val="20"/>
              </w:rPr>
              <w:t>合计</w:t>
            </w:r>
          </w:p>
        </w:tc>
        <w:tc>
          <w:tcPr>
            <w:tcW w:w="849"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rPr>
            </w:pPr>
            <w:r>
              <w:rPr>
                <w:rFonts w:ascii="Times New Roman" w:hAnsi="Times New Roman" w:eastAsia="仿宋_GB2312"/>
                <w:kern w:val="0"/>
                <w:sz w:val="20"/>
              </w:rPr>
              <w:t>6</w:t>
            </w:r>
          </w:p>
        </w:tc>
        <w:tc>
          <w:tcPr>
            <w:tcW w:w="227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rPr>
            </w:pPr>
            <w:r>
              <w:rPr>
                <w:rFonts w:ascii="Times New Roman" w:hAnsi="Times New Roman" w:eastAsia="仿宋_GB2312"/>
                <w:kern w:val="0"/>
                <w:sz w:val="20"/>
              </w:rPr>
              <w:t>　</w:t>
            </w:r>
          </w:p>
        </w:tc>
        <w:tc>
          <w:tcPr>
            <w:tcW w:w="214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rPr>
            </w:pPr>
            <w:r>
              <w:rPr>
                <w:rFonts w:ascii="Times New Roman" w:hAnsi="Times New Roman" w:eastAsia="仿宋_GB2312"/>
                <w:kern w:val="0"/>
                <w:sz w:val="20"/>
              </w:rPr>
              <w:t>　</w:t>
            </w:r>
          </w:p>
        </w:tc>
        <w:tc>
          <w:tcPr>
            <w:tcW w:w="979"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rPr>
            </w:pPr>
            <w:r>
              <w:rPr>
                <w:rFonts w:ascii="Times New Roman" w:hAnsi="Times New Roman" w:eastAsia="仿宋_GB2312"/>
                <w:kern w:val="0"/>
                <w:sz w:val="20"/>
              </w:rPr>
              <w:t>192.6</w:t>
            </w:r>
          </w:p>
        </w:tc>
        <w:tc>
          <w:tcPr>
            <w:tcW w:w="79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rPr>
            </w:pPr>
            <w:r>
              <w:rPr>
                <w:rFonts w:ascii="Times New Roman" w:hAnsi="Times New Roman" w:eastAsia="仿宋_GB2312"/>
                <w:kern w:val="0"/>
                <w:sz w:val="20"/>
              </w:rPr>
              <w:t>　</w:t>
            </w:r>
          </w:p>
        </w:tc>
        <w:tc>
          <w:tcPr>
            <w:tcW w:w="79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仿宋_GB2312"/>
                <w:kern w:val="0"/>
                <w:sz w:val="20"/>
              </w:rPr>
            </w:pPr>
            <w:r>
              <w:rPr>
                <w:rFonts w:ascii="Times New Roman" w:hAnsi="Times New Roman" w:eastAsia="仿宋_GB2312"/>
                <w:kern w:val="0"/>
                <w:sz w:val="20"/>
              </w:rPr>
              <w:t>　</w:t>
            </w:r>
          </w:p>
        </w:tc>
      </w:tr>
    </w:tbl>
    <w:p>
      <w:pPr>
        <w:pStyle w:val="5"/>
      </w:pPr>
      <w:bookmarkStart w:id="15" w:name="_Toc49452683"/>
      <w:bookmarkStart w:id="16" w:name="_Toc43754874"/>
      <w:r>
        <w:rPr>
          <w:rFonts w:hint="eastAsia"/>
        </w:rPr>
        <w:t>水利工程建设现状</w:t>
      </w:r>
    </w:p>
    <w:p>
      <w:pPr>
        <w:pStyle w:val="3"/>
        <w:ind w:firstLine="576"/>
      </w:pPr>
      <w:r>
        <w:t>截至</w:t>
      </w:r>
      <w:r>
        <w:rPr>
          <w:rFonts w:hint="eastAsia"/>
        </w:rPr>
        <w:t>2018年，</w:t>
      </w:r>
      <w:r>
        <w:t>勐海县已建成</w:t>
      </w:r>
      <w:r>
        <w:rPr>
          <w:rFonts w:hint="eastAsia"/>
        </w:rPr>
        <w:t>91</w:t>
      </w:r>
      <w:r>
        <w:t>座水库</w:t>
      </w:r>
      <w:r>
        <w:rPr>
          <w:rFonts w:hint="eastAsia"/>
        </w:rPr>
        <w:t>（3座中型、16座小（一）型、72座小（二）型）</w:t>
      </w:r>
      <w:r>
        <w:t>，已建水库总库容</w:t>
      </w:r>
      <w:r>
        <w:rPr>
          <w:rFonts w:hint="eastAsia"/>
        </w:rPr>
        <w:t>14816</w:t>
      </w:r>
      <w:r>
        <w:t>万m</w:t>
      </w:r>
      <w:r>
        <w:rPr>
          <w:vertAlign w:val="superscript"/>
        </w:rPr>
        <w:t>3</w:t>
      </w:r>
      <w:r>
        <w:rPr>
          <w:rFonts w:hint="eastAsia"/>
        </w:rPr>
        <w:t>；已建水闸66</w:t>
      </w:r>
      <w:r>
        <w:t>座</w:t>
      </w:r>
      <w:r>
        <w:rPr>
          <w:rFonts w:hint="eastAsia"/>
        </w:rPr>
        <w:t>（中型3座，小（一）型4座，小（二）型59座）</w:t>
      </w:r>
      <w:r>
        <w:t>，</w:t>
      </w:r>
      <w:r>
        <w:rPr>
          <w:rFonts w:hint="eastAsia"/>
        </w:rPr>
        <w:t>已建泵站3</w:t>
      </w:r>
      <w:r>
        <w:t>座，水利工程供水能力达19</w:t>
      </w:r>
      <w:r>
        <w:rPr>
          <w:rFonts w:hint="eastAsia"/>
        </w:rPr>
        <w:t>471</w:t>
      </w:r>
      <w:r>
        <w:t>万m</w:t>
      </w:r>
      <w:r>
        <w:rPr>
          <w:vertAlign w:val="superscript"/>
        </w:rPr>
        <w:t>3</w:t>
      </w:r>
      <w:r>
        <w:t>，其中</w:t>
      </w:r>
      <w:r>
        <w:rPr>
          <w:rFonts w:hint="eastAsia"/>
        </w:rPr>
        <w:t>，</w:t>
      </w:r>
      <w:r>
        <w:t>水库工程供水</w:t>
      </w:r>
      <w:r>
        <w:rPr>
          <w:rFonts w:hint="eastAsia"/>
        </w:rPr>
        <w:t>能力14234</w:t>
      </w:r>
      <w:r>
        <w:t>万m</w:t>
      </w:r>
      <w:r>
        <w:rPr>
          <w:vertAlign w:val="superscript"/>
        </w:rPr>
        <w:t>3</w:t>
      </w:r>
      <w:r>
        <w:rPr>
          <w:rFonts w:hint="eastAsia"/>
        </w:rPr>
        <w:t>，塘坝和窖池工程437</w:t>
      </w:r>
      <w:r>
        <w:t>万m</w:t>
      </w:r>
      <w:r>
        <w:rPr>
          <w:vertAlign w:val="superscript"/>
        </w:rPr>
        <w:t>3</w:t>
      </w:r>
      <w:r>
        <w:rPr>
          <w:rFonts w:hint="eastAsia"/>
        </w:rPr>
        <w:t>，河湖引水工程4800</w:t>
      </w:r>
      <w:r>
        <w:t>万m</w:t>
      </w:r>
      <w:r>
        <w:rPr>
          <w:vertAlign w:val="superscript"/>
        </w:rPr>
        <w:t>3</w:t>
      </w:r>
      <w:r>
        <w:rPr>
          <w:rFonts w:hint="eastAsia"/>
        </w:rPr>
        <w:t>；</w:t>
      </w:r>
      <w:r>
        <w:t>总供水量为</w:t>
      </w:r>
      <w:r>
        <w:rPr>
          <w:rFonts w:hint="eastAsia"/>
        </w:rPr>
        <w:t>18423</w:t>
      </w:r>
      <w:r>
        <w:t>万m</w:t>
      </w:r>
      <w:r>
        <w:rPr>
          <w:vertAlign w:val="superscript"/>
        </w:rPr>
        <w:t>3</w:t>
      </w:r>
      <w:r>
        <w:rPr>
          <w:rFonts w:hint="eastAsia"/>
        </w:rPr>
        <w:t>，</w:t>
      </w:r>
      <w:r>
        <w:t>其中水库工程供水量</w:t>
      </w:r>
      <w:r>
        <w:rPr>
          <w:rFonts w:hint="eastAsia"/>
        </w:rPr>
        <w:t>11783</w:t>
      </w:r>
      <w:r>
        <w:t>万m</w:t>
      </w:r>
      <w:r>
        <w:rPr>
          <w:vertAlign w:val="superscript"/>
        </w:rPr>
        <w:t>3</w:t>
      </w:r>
      <w:r>
        <w:rPr>
          <w:rFonts w:hint="eastAsia"/>
        </w:rPr>
        <w:t>，塘坝和窖池工程380</w:t>
      </w:r>
      <w:r>
        <w:t>万m</w:t>
      </w:r>
      <w:r>
        <w:rPr>
          <w:vertAlign w:val="superscript"/>
        </w:rPr>
        <w:t>3</w:t>
      </w:r>
      <w:r>
        <w:rPr>
          <w:rFonts w:hint="eastAsia"/>
        </w:rPr>
        <w:t>，河湖引水工程4691</w:t>
      </w:r>
      <w:r>
        <w:t>万m</w:t>
      </w:r>
      <w:r>
        <w:rPr>
          <w:vertAlign w:val="superscript"/>
        </w:rPr>
        <w:t>3</w:t>
      </w:r>
      <w:r>
        <w:rPr>
          <w:rFonts w:hint="eastAsia"/>
        </w:rPr>
        <w:t>，</w:t>
      </w:r>
      <w:r>
        <w:t>其他地表水源工程供水量</w:t>
      </w:r>
      <w:r>
        <w:rPr>
          <w:rFonts w:hint="eastAsia"/>
        </w:rPr>
        <w:t>1565</w:t>
      </w:r>
      <w:r>
        <w:t>万m</w:t>
      </w:r>
      <w:r>
        <w:rPr>
          <w:vertAlign w:val="superscript"/>
        </w:rPr>
        <w:t>3</w:t>
      </w:r>
      <w:r>
        <w:t>。</w:t>
      </w:r>
    </w:p>
    <w:p>
      <w:pPr>
        <w:pStyle w:val="3"/>
        <w:spacing w:line="240" w:lineRule="auto"/>
        <w:ind w:firstLine="0" w:firstLineChars="0"/>
      </w:pPr>
      <w:r>
        <w:drawing>
          <wp:inline distT="0" distB="0" distL="0" distR="0">
            <wp:extent cx="5537200" cy="7824470"/>
            <wp:effectExtent l="0" t="0" r="6350" b="5080"/>
            <wp:docPr id="9" name="图片 9" descr="E:\17 正开展工作\2020\2020010 勐海县十四五规划\4勐海县十四五规划\02 绘图及出图\1出图\3 勐海县现状水利工程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17 正开展工作\2020\2020010 勐海县十四五规划\4勐海县十四五规划\02 绘图及出图\1出图\3 勐海县现状水利工程示意图.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37200" cy="7824608"/>
                    </a:xfrm>
                    <a:prstGeom prst="rect">
                      <a:avLst/>
                    </a:prstGeom>
                    <a:noFill/>
                    <a:ln>
                      <a:noFill/>
                    </a:ln>
                  </pic:spPr>
                </pic:pic>
              </a:graphicData>
            </a:graphic>
          </wp:inline>
        </w:drawing>
      </w:r>
    </w:p>
    <w:p>
      <w:pPr>
        <w:pStyle w:val="13"/>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r>
        <w:rPr>
          <w:rFonts w:hint="eastAsia"/>
        </w:rPr>
        <w:t xml:space="preserve"> 勐海县现状水利工程示意图</w:t>
      </w:r>
    </w:p>
    <w:p>
      <w:pPr>
        <w:pStyle w:val="3"/>
        <w:ind w:firstLine="576"/>
      </w:pPr>
    </w:p>
    <w:p>
      <w:pPr>
        <w:pStyle w:val="4"/>
        <w:rPr>
          <w:rFonts w:ascii="Times New Roman" w:hAnsi="Times New Roman"/>
        </w:rPr>
      </w:pPr>
      <w:r>
        <w:rPr>
          <w:rFonts w:ascii="Times New Roman" w:hAnsi="Times New Roman"/>
        </w:rPr>
        <w:t xml:space="preserve"> </w:t>
      </w:r>
      <w:bookmarkStart w:id="17" w:name="_Toc62461302"/>
      <w:r>
        <w:rPr>
          <w:rFonts w:ascii="Times New Roman" w:hAnsi="Times New Roman"/>
        </w:rPr>
        <w:t>“十三五”规划实施情况及成效</w:t>
      </w:r>
      <w:bookmarkEnd w:id="15"/>
      <w:bookmarkEnd w:id="17"/>
    </w:p>
    <w:p>
      <w:pPr>
        <w:pStyle w:val="3"/>
        <w:ind w:firstLine="576"/>
      </w:pPr>
      <w:r>
        <w:t>“十三五”以来，勐海县水利部门以习近平新时代中国特色社会主义思想为指导，深入贯彻落实习近平总书记关于治水工作的重要论述和重要指示批示精神，积极践行“节水优先、空间均衡、系统治理、两手发力”的治水思路，坚持“水利工程补短板、水利行业强监管”水利改革发展总基调，围绕保障水安全，不断推动治水方式创新、制度创新、实践创新，水利基础设施加快建设，水利监管得到切实加强，“十三五”规划确定的目标能够如期较好完成，全县水安全保障水平持续提升。</w:t>
      </w:r>
      <w:r>
        <w:rPr>
          <w:rFonts w:hint="eastAsia"/>
        </w:rPr>
        <w:t>“十三五”规划的792件项目中，已完工787件，在建工程5件；“十三五”期间，水利建设项目总投资13.82亿元，已完成建设投资12.36亿元，预计“十三五”期末完成投资13亿元。</w:t>
      </w:r>
    </w:p>
    <w:p>
      <w:pPr>
        <w:numPr>
          <w:ilvl w:val="2"/>
          <w:numId w:val="1"/>
        </w:numPr>
        <w:spacing w:before="120" w:after="120" w:line="360" w:lineRule="auto"/>
        <w:jc w:val="left"/>
        <w:outlineLvl w:val="2"/>
        <w:rPr>
          <w:rFonts w:ascii="Times New Roman" w:hAnsi="Times New Roman" w:eastAsia="黑体"/>
          <w:color w:val="auto"/>
          <w:sz w:val="28"/>
          <w:szCs w:val="32"/>
        </w:rPr>
      </w:pPr>
      <w:r>
        <w:rPr>
          <w:rFonts w:ascii="Times New Roman" w:hAnsi="Times New Roman" w:eastAsia="黑体"/>
          <w:color w:val="auto"/>
          <w:sz w:val="28"/>
          <w:szCs w:val="32"/>
        </w:rPr>
        <w:t>水旱灾害防御能力持续提升</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经过多年建设，勐海县逐步形成了以水库、堤防、水闸等于一体较为完备的防洪减灾工程体系。“十三五”以来，勐海县统筹推进中小河流治理、病险水利设施除险加固、山洪灾害防治等薄弱环节建设，流沙河、南览河、南满河等主要河流防洪减灾能力明显提升，并初步建成全县山洪灾害监测预警系统和群测群防体系，战胜了部分旱情，有效应对了一系列洪涝灾害，全县洪涝、干旱灾害有效降低。</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“十三五”期间，勐海县已动工建设防洪减灾项目</w:t>
      </w:r>
      <w:r>
        <w:rPr>
          <w:rFonts w:hint="eastAsia" w:ascii="Times New Roman" w:hAnsi="Times New Roman" w:eastAsia="仿宋_GB2312"/>
          <w:color w:val="auto"/>
          <w:spacing w:val="4"/>
          <w:sz w:val="28"/>
          <w:szCs w:val="28"/>
        </w:rPr>
        <w:t>5</w:t>
      </w:r>
      <w:r>
        <w:rPr>
          <w:rFonts w:ascii="Times New Roman" w:hAnsi="Times New Roman" w:eastAsia="仿宋_GB2312"/>
          <w:color w:val="auto"/>
          <w:spacing w:val="4"/>
          <w:sz w:val="28"/>
          <w:szCs w:val="28"/>
        </w:rPr>
        <w:t>件，建设完成</w:t>
      </w:r>
      <w:r>
        <w:rPr>
          <w:rFonts w:hint="eastAsia" w:ascii="Times New Roman" w:hAnsi="Times New Roman" w:eastAsia="仿宋_GB2312"/>
          <w:color w:val="auto"/>
          <w:spacing w:val="4"/>
          <w:sz w:val="28"/>
          <w:szCs w:val="28"/>
        </w:rPr>
        <w:t>4</w:t>
      </w:r>
      <w:r>
        <w:rPr>
          <w:rFonts w:ascii="Times New Roman" w:hAnsi="Times New Roman" w:eastAsia="仿宋_GB2312"/>
          <w:color w:val="auto"/>
          <w:spacing w:val="4"/>
          <w:sz w:val="28"/>
          <w:szCs w:val="28"/>
        </w:rPr>
        <w:t>件，在建工程</w:t>
      </w:r>
      <w:r>
        <w:rPr>
          <w:rFonts w:hint="eastAsia" w:ascii="Times New Roman" w:hAnsi="Times New Roman" w:eastAsia="仿宋_GB2312"/>
          <w:color w:val="auto"/>
          <w:spacing w:val="4"/>
          <w:sz w:val="28"/>
          <w:szCs w:val="28"/>
        </w:rPr>
        <w:t>1</w:t>
      </w:r>
      <w:r>
        <w:rPr>
          <w:rFonts w:ascii="Times New Roman" w:hAnsi="Times New Roman" w:eastAsia="仿宋_GB2312"/>
          <w:color w:val="auto"/>
          <w:spacing w:val="4"/>
          <w:sz w:val="28"/>
          <w:szCs w:val="28"/>
        </w:rPr>
        <w:t>件。其中：打洛界河综合治理项目二期工程于2017年5月完工，南览河、南兰河堤防建设长度19.17 km，防洪标准提高至20年一遇；曼蚌河勐混段防洪治理项目</w:t>
      </w:r>
      <w:r>
        <w:rPr>
          <w:rFonts w:hint="eastAsia" w:ascii="Times New Roman" w:hAnsi="Times New Roman" w:eastAsia="仿宋_GB2312"/>
          <w:color w:val="auto"/>
          <w:spacing w:val="4"/>
          <w:sz w:val="28"/>
          <w:szCs w:val="28"/>
        </w:rPr>
        <w:t>建设</w:t>
      </w:r>
      <w:r>
        <w:rPr>
          <w:rFonts w:ascii="Times New Roman" w:hAnsi="Times New Roman" w:eastAsia="仿宋_GB2312"/>
          <w:color w:val="auto"/>
          <w:spacing w:val="4"/>
          <w:sz w:val="28"/>
          <w:szCs w:val="28"/>
        </w:rPr>
        <w:t>堤防长度10.55 km，防洪标准</w:t>
      </w:r>
      <w:r>
        <w:rPr>
          <w:rFonts w:hint="eastAsia" w:ascii="Times New Roman" w:hAnsi="Times New Roman" w:eastAsia="仿宋_GB2312"/>
          <w:color w:val="auto"/>
          <w:spacing w:val="4"/>
          <w:sz w:val="28"/>
          <w:szCs w:val="28"/>
        </w:rPr>
        <w:t>提高</w:t>
      </w:r>
      <w:r>
        <w:rPr>
          <w:rFonts w:ascii="Times New Roman" w:hAnsi="Times New Roman" w:eastAsia="仿宋_GB2312"/>
          <w:color w:val="auto"/>
          <w:spacing w:val="4"/>
          <w:sz w:val="28"/>
          <w:szCs w:val="28"/>
        </w:rPr>
        <w:t>至10年一遇</w:t>
      </w:r>
      <w:r>
        <w:rPr>
          <w:rFonts w:hint="eastAsia" w:ascii="Times New Roman" w:hAnsi="Times New Roman" w:eastAsia="仿宋_GB2312"/>
          <w:color w:val="auto"/>
          <w:spacing w:val="4"/>
          <w:sz w:val="28"/>
          <w:szCs w:val="28"/>
        </w:rPr>
        <w:t>。云南JH15</w:t>
      </w:r>
      <w:r>
        <w:rPr>
          <w:rFonts w:ascii="Times New Roman" w:hAnsi="Times New Roman" w:eastAsia="仿宋_GB2312"/>
          <w:color w:val="auto"/>
          <w:spacing w:val="4"/>
          <w:sz w:val="28"/>
          <w:szCs w:val="28"/>
        </w:rPr>
        <w:t>治理项目</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南</w:t>
      </w:r>
      <w:r>
        <w:rPr>
          <w:rFonts w:hint="eastAsia" w:ascii="Times New Roman" w:hAnsi="Times New Roman" w:eastAsia="仿宋_GB2312"/>
          <w:color w:val="auto"/>
          <w:spacing w:val="4"/>
          <w:sz w:val="28"/>
          <w:szCs w:val="28"/>
        </w:rPr>
        <w:t>洞</w:t>
      </w:r>
      <w:r>
        <w:rPr>
          <w:rFonts w:ascii="Times New Roman" w:hAnsi="Times New Roman" w:eastAsia="仿宋_GB2312"/>
          <w:color w:val="auto"/>
          <w:spacing w:val="4"/>
          <w:sz w:val="28"/>
          <w:szCs w:val="28"/>
        </w:rPr>
        <w:t>河</w:t>
      </w:r>
      <w:r>
        <w:rPr>
          <w:rFonts w:hint="eastAsia" w:ascii="Times New Roman" w:hAnsi="Times New Roman" w:eastAsia="仿宋_GB2312"/>
          <w:color w:val="auto"/>
          <w:spacing w:val="4"/>
          <w:sz w:val="28"/>
          <w:szCs w:val="28"/>
        </w:rPr>
        <w:t>）主要建设内容为</w:t>
      </w:r>
      <w:r>
        <w:rPr>
          <w:rFonts w:ascii="Times New Roman" w:hAnsi="Times New Roman" w:eastAsia="仿宋_GB2312"/>
          <w:color w:val="auto"/>
          <w:spacing w:val="4"/>
          <w:sz w:val="28"/>
          <w:szCs w:val="28"/>
        </w:rPr>
        <w:t>河堤</w:t>
      </w:r>
      <w:r>
        <w:rPr>
          <w:rFonts w:hint="eastAsia" w:ascii="Times New Roman" w:hAnsi="Times New Roman" w:eastAsia="仿宋_GB2312"/>
          <w:color w:val="auto"/>
          <w:spacing w:val="4"/>
          <w:sz w:val="28"/>
          <w:szCs w:val="28"/>
        </w:rPr>
        <w:t>加固</w:t>
      </w:r>
      <w:r>
        <w:rPr>
          <w:rFonts w:ascii="Times New Roman" w:hAnsi="Times New Roman" w:eastAsia="仿宋_GB2312"/>
          <w:color w:val="auto"/>
          <w:spacing w:val="4"/>
          <w:sz w:val="28"/>
          <w:szCs w:val="28"/>
        </w:rPr>
        <w:t>，混凝土预制块护坡</w:t>
      </w:r>
      <w:r>
        <w:rPr>
          <w:rFonts w:hint="eastAsia" w:ascii="Times New Roman" w:hAnsi="Times New Roman" w:eastAsia="仿宋_GB2312"/>
          <w:color w:val="auto"/>
          <w:spacing w:val="4"/>
          <w:sz w:val="28"/>
          <w:szCs w:val="28"/>
        </w:rPr>
        <w:t>等，使</w:t>
      </w:r>
      <w:r>
        <w:rPr>
          <w:rFonts w:ascii="Times New Roman" w:hAnsi="Times New Roman" w:eastAsia="仿宋_GB2312"/>
          <w:color w:val="auto"/>
          <w:spacing w:val="4"/>
          <w:sz w:val="28"/>
          <w:szCs w:val="28"/>
        </w:rPr>
        <w:t>防洪标准达到20年一遇</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该工程于201</w:t>
      </w:r>
      <w:r>
        <w:rPr>
          <w:rFonts w:hint="eastAsia" w:ascii="Times New Roman" w:hAnsi="Times New Roman" w:eastAsia="仿宋_GB2312"/>
          <w:color w:val="auto"/>
          <w:spacing w:val="4"/>
          <w:sz w:val="28"/>
          <w:szCs w:val="28"/>
        </w:rPr>
        <w:t>9</w:t>
      </w:r>
      <w:r>
        <w:rPr>
          <w:rFonts w:ascii="Times New Roman" w:hAnsi="Times New Roman" w:eastAsia="仿宋_GB2312"/>
          <w:color w:val="auto"/>
          <w:spacing w:val="4"/>
          <w:sz w:val="28"/>
          <w:szCs w:val="28"/>
        </w:rPr>
        <w:t>年</w:t>
      </w:r>
      <w:r>
        <w:rPr>
          <w:rFonts w:hint="eastAsia" w:ascii="Times New Roman" w:hAnsi="Times New Roman" w:eastAsia="仿宋_GB2312"/>
          <w:color w:val="auto"/>
          <w:spacing w:val="4"/>
          <w:sz w:val="28"/>
          <w:szCs w:val="28"/>
        </w:rPr>
        <w:t>9</w:t>
      </w:r>
      <w:r>
        <w:rPr>
          <w:rFonts w:ascii="Times New Roman" w:hAnsi="Times New Roman" w:eastAsia="仿宋_GB2312"/>
          <w:color w:val="auto"/>
          <w:spacing w:val="4"/>
          <w:sz w:val="28"/>
          <w:szCs w:val="28"/>
        </w:rPr>
        <w:t>月开工</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 xml:space="preserve"> “十三五”</w:t>
      </w:r>
      <w:r>
        <w:rPr>
          <w:rFonts w:hint="eastAsia" w:ascii="Times New Roman" w:hAnsi="Times New Roman" w:eastAsia="仿宋_GB2312"/>
          <w:color w:val="auto"/>
          <w:spacing w:val="4"/>
          <w:sz w:val="28"/>
          <w:szCs w:val="28"/>
        </w:rPr>
        <w:t>以来</w:t>
      </w:r>
      <w:r>
        <w:rPr>
          <w:rFonts w:ascii="Times New Roman" w:hAnsi="Times New Roman" w:eastAsia="仿宋_GB2312"/>
          <w:color w:val="auto"/>
          <w:spacing w:val="4"/>
          <w:sz w:val="28"/>
          <w:szCs w:val="28"/>
        </w:rPr>
        <w:t>，</w:t>
      </w:r>
      <w:commentRangeStart w:id="5"/>
      <w:r>
        <w:rPr>
          <w:rFonts w:ascii="Times New Roman" w:hAnsi="Times New Roman" w:eastAsia="仿宋_GB2312"/>
          <w:color w:val="auto"/>
          <w:spacing w:val="4"/>
          <w:sz w:val="28"/>
          <w:szCs w:val="28"/>
        </w:rPr>
        <w:t>勐海</w:t>
      </w:r>
      <w:commentRangeEnd w:id="5"/>
      <w:r>
        <w:rPr>
          <w:rStyle w:val="39"/>
          <w:rFonts w:ascii="Times New Roman" w:hAnsi="Times New Roman"/>
        </w:rPr>
        <w:commentReference w:id="5"/>
      </w:r>
      <w:r>
        <w:rPr>
          <w:rFonts w:ascii="Times New Roman" w:hAnsi="Times New Roman" w:eastAsia="仿宋_GB2312"/>
          <w:color w:val="auto"/>
          <w:spacing w:val="4"/>
          <w:sz w:val="28"/>
          <w:szCs w:val="28"/>
        </w:rPr>
        <w:t>县持续推进中小河流治理</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病险水库除险加固</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山洪灾害防治等薄弱环节建设</w:t>
      </w:r>
      <w:r>
        <w:rPr>
          <w:rFonts w:hint="eastAsia" w:ascii="Times New Roman" w:hAnsi="Times New Roman" w:eastAsia="仿宋_GB2312"/>
          <w:color w:val="auto"/>
          <w:spacing w:val="4"/>
          <w:sz w:val="28"/>
          <w:szCs w:val="28"/>
        </w:rPr>
        <w:t>，其中，</w:t>
      </w:r>
      <w:r>
        <w:rPr>
          <w:rFonts w:ascii="Times New Roman" w:hAnsi="Times New Roman" w:eastAsia="仿宋_GB2312"/>
          <w:color w:val="auto"/>
          <w:spacing w:val="4"/>
          <w:sz w:val="28"/>
          <w:szCs w:val="28"/>
        </w:rPr>
        <w:t>中小河流治理完成</w:t>
      </w:r>
      <w:r>
        <w:rPr>
          <w:rFonts w:hint="eastAsia" w:ascii="Times New Roman" w:hAnsi="Times New Roman" w:eastAsia="仿宋_GB2312"/>
          <w:color w:val="auto"/>
          <w:spacing w:val="4"/>
          <w:sz w:val="28"/>
          <w:szCs w:val="28"/>
        </w:rPr>
        <w:t>3件</w:t>
      </w:r>
      <w:r>
        <w:rPr>
          <w:rFonts w:ascii="Times New Roman" w:hAnsi="Times New Roman" w:eastAsia="仿宋_GB2312"/>
          <w:color w:val="auto"/>
          <w:spacing w:val="4"/>
          <w:sz w:val="28"/>
          <w:szCs w:val="28"/>
        </w:rPr>
        <w:t>（勐往河、南阿河、南满河）</w:t>
      </w:r>
      <w:r>
        <w:rPr>
          <w:rFonts w:hint="eastAsia" w:ascii="Times New Roman" w:hAnsi="Times New Roman" w:eastAsia="仿宋_GB2312"/>
          <w:color w:val="auto"/>
          <w:spacing w:val="4"/>
          <w:sz w:val="28"/>
          <w:szCs w:val="28"/>
        </w:rPr>
        <w:t>，1件在建（云南</w:t>
      </w:r>
      <w:r>
        <w:rPr>
          <w:rFonts w:ascii="Times New Roman" w:hAnsi="Times New Roman" w:eastAsia="仿宋_GB2312"/>
          <w:color w:val="auto"/>
          <w:spacing w:val="4"/>
          <w:sz w:val="28"/>
          <w:szCs w:val="28"/>
        </w:rPr>
        <w:t>JH15项目</w:t>
      </w:r>
      <w:r>
        <w:rPr>
          <w:rFonts w:hint="eastAsia" w:ascii="Times New Roman" w:hAnsi="Times New Roman" w:eastAsia="仿宋_GB2312"/>
          <w:color w:val="auto"/>
          <w:spacing w:val="4"/>
          <w:sz w:val="28"/>
          <w:szCs w:val="28"/>
        </w:rPr>
        <w:t>），完成</w:t>
      </w:r>
      <w:r>
        <w:rPr>
          <w:rFonts w:ascii="Times New Roman" w:hAnsi="Times New Roman" w:eastAsia="仿宋_GB2312"/>
          <w:color w:val="auto"/>
          <w:spacing w:val="4"/>
          <w:sz w:val="28"/>
          <w:szCs w:val="28"/>
        </w:rPr>
        <w:t>投资9600万元，山洪沟治理完成</w:t>
      </w:r>
      <w:r>
        <w:rPr>
          <w:rFonts w:hint="eastAsia" w:ascii="Times New Roman" w:hAnsi="Times New Roman" w:eastAsia="仿宋_GB2312"/>
          <w:color w:val="auto"/>
          <w:spacing w:val="4"/>
          <w:sz w:val="28"/>
          <w:szCs w:val="28"/>
        </w:rPr>
        <w:t>5件</w:t>
      </w:r>
      <w:r>
        <w:rPr>
          <w:rFonts w:ascii="Times New Roman" w:hAnsi="Times New Roman" w:eastAsia="仿宋_GB2312"/>
          <w:color w:val="auto"/>
          <w:spacing w:val="4"/>
          <w:sz w:val="28"/>
          <w:szCs w:val="28"/>
        </w:rPr>
        <w:t>（南吕河、曼贺河、南给河、付腊河、曼方河）</w:t>
      </w:r>
      <w:r>
        <w:rPr>
          <w:rFonts w:hint="eastAsia" w:ascii="Times New Roman" w:hAnsi="Times New Roman" w:eastAsia="仿宋_GB2312"/>
          <w:color w:val="auto"/>
          <w:spacing w:val="4"/>
          <w:sz w:val="28"/>
          <w:szCs w:val="28"/>
        </w:rPr>
        <w:t>，完成</w:t>
      </w:r>
      <w:r>
        <w:rPr>
          <w:rFonts w:ascii="Times New Roman" w:hAnsi="Times New Roman" w:eastAsia="仿宋_GB2312"/>
          <w:color w:val="auto"/>
          <w:spacing w:val="4"/>
          <w:sz w:val="28"/>
          <w:szCs w:val="28"/>
        </w:rPr>
        <w:t>投资3400万元，病险水库除险加固完成</w:t>
      </w:r>
      <w:r>
        <w:rPr>
          <w:rFonts w:hint="eastAsia" w:ascii="Times New Roman" w:hAnsi="Times New Roman" w:eastAsia="仿宋_GB2312"/>
          <w:color w:val="auto"/>
          <w:spacing w:val="4"/>
          <w:sz w:val="28"/>
          <w:szCs w:val="28"/>
        </w:rPr>
        <w:t>20件，完成投资3672.16万元</w:t>
      </w:r>
      <w:r>
        <w:rPr>
          <w:rFonts w:ascii="Times New Roman" w:hAnsi="Times New Roman" w:eastAsia="仿宋_GB2312"/>
          <w:color w:val="auto"/>
          <w:spacing w:val="4"/>
          <w:sz w:val="28"/>
          <w:szCs w:val="28"/>
        </w:rPr>
        <w:t>。</w:t>
      </w:r>
    </w:p>
    <w:p>
      <w:pPr>
        <w:numPr>
          <w:ilvl w:val="2"/>
          <w:numId w:val="1"/>
        </w:numPr>
        <w:spacing w:before="120" w:after="120" w:line="360" w:lineRule="auto"/>
        <w:jc w:val="left"/>
        <w:outlineLvl w:val="2"/>
        <w:rPr>
          <w:rFonts w:ascii="Times New Roman" w:hAnsi="Times New Roman" w:eastAsia="黑体"/>
          <w:color w:val="auto"/>
          <w:sz w:val="28"/>
          <w:szCs w:val="32"/>
        </w:rPr>
      </w:pPr>
      <w:r>
        <w:rPr>
          <w:rFonts w:ascii="Times New Roman" w:hAnsi="Times New Roman" w:eastAsia="黑体"/>
          <w:color w:val="auto"/>
          <w:sz w:val="28"/>
          <w:szCs w:val="32"/>
        </w:rPr>
        <w:t>水资源节约集约利用水平不断提高</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b/>
          <w:color w:val="auto"/>
          <w:spacing w:val="4"/>
          <w:sz w:val="28"/>
          <w:szCs w:val="28"/>
        </w:rPr>
        <w:t>水资源配置体系不断完善</w:t>
      </w:r>
      <w:r>
        <w:rPr>
          <w:rFonts w:ascii="Times New Roman" w:hAnsi="Times New Roman" w:eastAsia="仿宋_GB2312"/>
          <w:color w:val="auto"/>
          <w:spacing w:val="4"/>
          <w:sz w:val="28"/>
          <w:szCs w:val="28"/>
        </w:rPr>
        <w:t>。</w:t>
      </w:r>
      <w:r>
        <w:rPr>
          <w:rFonts w:hint="eastAsia" w:ascii="Times New Roman" w:hAnsi="Times New Roman" w:eastAsia="仿宋_GB2312"/>
          <w:color w:val="auto"/>
          <w:spacing w:val="4"/>
          <w:sz w:val="28"/>
          <w:szCs w:val="28"/>
        </w:rPr>
        <w:t>“十三五”期间已动工建设的水源工程项目3件，总投资</w:t>
      </w:r>
      <w:commentRangeStart w:id="6"/>
      <w:r>
        <w:rPr>
          <w:rFonts w:hint="eastAsia" w:ascii="Times New Roman" w:hAnsi="Times New Roman" w:eastAsia="仿宋_GB2312"/>
          <w:color w:val="auto"/>
          <w:spacing w:val="4"/>
          <w:sz w:val="28"/>
          <w:szCs w:val="28"/>
        </w:rPr>
        <w:t>84800</w:t>
      </w:r>
      <w:commentRangeEnd w:id="6"/>
      <w:r>
        <w:rPr>
          <w:rStyle w:val="39"/>
        </w:rPr>
        <w:commentReference w:id="6"/>
      </w:r>
      <w:r>
        <w:rPr>
          <w:rFonts w:hint="eastAsia" w:ascii="Times New Roman" w:hAnsi="Times New Roman" w:eastAsia="仿宋_GB2312"/>
          <w:color w:val="auto"/>
          <w:spacing w:val="4"/>
          <w:sz w:val="28"/>
          <w:szCs w:val="28"/>
        </w:rPr>
        <w:t>万元，其中：已完成主体建设1件（勐满水库），在建实施2件（曼桂水库、曼彦水库）。“十三五”期间完成投资61273.74万元。</w:t>
      </w:r>
      <w:r>
        <w:rPr>
          <w:rFonts w:ascii="Times New Roman" w:hAnsi="Times New Roman" w:eastAsia="仿宋_GB2312"/>
          <w:color w:val="auto"/>
          <w:spacing w:val="4"/>
          <w:sz w:val="28"/>
          <w:szCs w:val="28"/>
        </w:rPr>
        <w:t>高效节水项目有序推进</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 xml:space="preserve"> “十</w:t>
      </w:r>
      <w:r>
        <w:rPr>
          <w:rFonts w:hint="eastAsia" w:ascii="Times New Roman" w:hAnsi="Times New Roman" w:eastAsia="仿宋_GB2312"/>
          <w:color w:val="auto"/>
          <w:spacing w:val="4"/>
          <w:sz w:val="28"/>
          <w:szCs w:val="28"/>
        </w:rPr>
        <w:t>三</w:t>
      </w:r>
      <w:r>
        <w:rPr>
          <w:rFonts w:ascii="Times New Roman" w:hAnsi="Times New Roman" w:eastAsia="仿宋_GB2312"/>
          <w:color w:val="auto"/>
          <w:spacing w:val="4"/>
          <w:sz w:val="28"/>
          <w:szCs w:val="28"/>
        </w:rPr>
        <w:t>五”期间</w:t>
      </w:r>
      <w:r>
        <w:rPr>
          <w:rFonts w:hint="eastAsia" w:ascii="Times New Roman" w:hAnsi="Times New Roman" w:eastAsia="仿宋_GB2312"/>
          <w:color w:val="auto"/>
          <w:spacing w:val="4"/>
          <w:sz w:val="28"/>
          <w:szCs w:val="28"/>
        </w:rPr>
        <w:t>实施</w:t>
      </w:r>
      <w:r>
        <w:rPr>
          <w:rFonts w:ascii="Times New Roman" w:hAnsi="Times New Roman" w:eastAsia="仿宋_GB2312"/>
          <w:color w:val="auto"/>
          <w:spacing w:val="4"/>
          <w:sz w:val="28"/>
          <w:szCs w:val="28"/>
        </w:rPr>
        <w:t>了勐</w:t>
      </w:r>
      <w:r>
        <w:rPr>
          <w:rFonts w:hint="eastAsia" w:ascii="Times New Roman" w:hAnsi="Times New Roman" w:eastAsia="仿宋_GB2312"/>
          <w:color w:val="auto"/>
          <w:spacing w:val="4"/>
          <w:sz w:val="28"/>
          <w:szCs w:val="28"/>
        </w:rPr>
        <w:t>混曼扫高效节水灌溉</w:t>
      </w:r>
      <w:r>
        <w:rPr>
          <w:rFonts w:ascii="Times New Roman" w:hAnsi="Times New Roman" w:eastAsia="仿宋_GB2312"/>
          <w:color w:val="auto"/>
          <w:spacing w:val="4"/>
          <w:sz w:val="28"/>
          <w:szCs w:val="28"/>
        </w:rPr>
        <w:t>工程、</w:t>
      </w:r>
      <w:r>
        <w:rPr>
          <w:rFonts w:hint="eastAsia" w:ascii="Times New Roman" w:hAnsi="Times New Roman" w:eastAsia="仿宋_GB2312"/>
          <w:color w:val="auto"/>
          <w:spacing w:val="4"/>
          <w:sz w:val="28"/>
          <w:szCs w:val="28"/>
        </w:rPr>
        <w:t>勐遮果莓基地</w:t>
      </w:r>
      <w:r>
        <w:rPr>
          <w:rFonts w:ascii="Times New Roman" w:hAnsi="Times New Roman" w:eastAsia="仿宋_GB2312"/>
          <w:color w:val="auto"/>
          <w:spacing w:val="4"/>
          <w:sz w:val="28"/>
          <w:szCs w:val="28"/>
        </w:rPr>
        <w:t>高效节水工程</w:t>
      </w:r>
      <w:r>
        <w:rPr>
          <w:rFonts w:hint="eastAsia" w:ascii="Times New Roman" w:hAnsi="Times New Roman" w:eastAsia="仿宋_GB2312"/>
          <w:color w:val="auto"/>
          <w:spacing w:val="4"/>
          <w:sz w:val="28"/>
          <w:szCs w:val="28"/>
        </w:rPr>
        <w:t>、勐满南达高效节水工程</w:t>
      </w:r>
      <w:r>
        <w:rPr>
          <w:rFonts w:ascii="Times New Roman" w:hAnsi="Times New Roman" w:eastAsia="仿宋_GB2312"/>
          <w:color w:val="auto"/>
          <w:spacing w:val="4"/>
          <w:sz w:val="28"/>
          <w:szCs w:val="28"/>
        </w:rPr>
        <w:t>和</w:t>
      </w:r>
      <w:r>
        <w:rPr>
          <w:rFonts w:hint="eastAsia" w:ascii="Times New Roman" w:hAnsi="Times New Roman" w:eastAsia="仿宋_GB2312"/>
          <w:color w:val="auto"/>
          <w:spacing w:val="4"/>
          <w:sz w:val="28"/>
          <w:szCs w:val="28"/>
        </w:rPr>
        <w:t>勐遮黎明片区高效节水灌溉</w:t>
      </w:r>
      <w:r>
        <w:rPr>
          <w:rFonts w:ascii="Times New Roman" w:hAnsi="Times New Roman" w:eastAsia="仿宋_GB2312"/>
          <w:color w:val="auto"/>
          <w:spacing w:val="4"/>
          <w:sz w:val="28"/>
          <w:szCs w:val="28"/>
        </w:rPr>
        <w:t>工程的建设</w:t>
      </w:r>
      <w:r>
        <w:rPr>
          <w:rFonts w:hint="eastAsia" w:ascii="Times New Roman" w:hAnsi="Times New Roman" w:eastAsia="仿宋_GB2312"/>
          <w:color w:val="auto"/>
          <w:spacing w:val="4"/>
          <w:sz w:val="28"/>
          <w:szCs w:val="28"/>
        </w:rPr>
        <w:t>，项目总投资7754.49万元，已</w:t>
      </w:r>
      <w:r>
        <w:rPr>
          <w:rFonts w:ascii="Times New Roman" w:hAnsi="Times New Roman" w:eastAsia="仿宋_GB2312"/>
          <w:color w:val="auto"/>
          <w:spacing w:val="4"/>
          <w:sz w:val="28"/>
          <w:szCs w:val="28"/>
        </w:rPr>
        <w:t>完成投资</w:t>
      </w:r>
      <w:r>
        <w:rPr>
          <w:rFonts w:hint="eastAsia" w:ascii="Times New Roman" w:hAnsi="Times New Roman" w:eastAsia="仿宋_GB2312"/>
          <w:color w:val="auto"/>
          <w:spacing w:val="4"/>
          <w:sz w:val="28"/>
          <w:szCs w:val="28"/>
        </w:rPr>
        <w:t>6199.49</w:t>
      </w:r>
      <w:r>
        <w:rPr>
          <w:rFonts w:ascii="Times New Roman" w:hAnsi="Times New Roman" w:eastAsia="仿宋_GB2312"/>
          <w:color w:val="auto"/>
          <w:spacing w:val="4"/>
          <w:sz w:val="28"/>
          <w:szCs w:val="28"/>
        </w:rPr>
        <w:t>万元</w:t>
      </w:r>
      <w:r>
        <w:rPr>
          <w:rFonts w:hint="eastAsia" w:ascii="Times New Roman" w:hAnsi="Times New Roman" w:eastAsia="仿宋_GB2312"/>
          <w:color w:val="auto"/>
          <w:spacing w:val="4"/>
          <w:sz w:val="28"/>
          <w:szCs w:val="28"/>
        </w:rPr>
        <w:t>，建成高效节水灌溉面积</w:t>
      </w:r>
      <w:r>
        <w:rPr>
          <w:rFonts w:ascii="Times New Roman" w:hAnsi="Times New Roman" w:eastAsia="仿宋_GB2312"/>
          <w:color w:val="auto"/>
          <w:spacing w:val="4"/>
          <w:sz w:val="28"/>
          <w:szCs w:val="28"/>
        </w:rPr>
        <w:t>1.12</w:t>
      </w:r>
      <w:r>
        <w:rPr>
          <w:rFonts w:hint="eastAsia" w:ascii="Times New Roman" w:hAnsi="Times New Roman" w:eastAsia="仿宋_GB2312"/>
          <w:color w:val="auto"/>
          <w:spacing w:val="4"/>
          <w:sz w:val="28"/>
          <w:szCs w:val="28"/>
        </w:rPr>
        <w:t>万亩。</w:t>
      </w:r>
      <w:r>
        <w:rPr>
          <w:rFonts w:ascii="Times New Roman" w:hAnsi="Times New Roman" w:eastAsia="仿宋_GB2312"/>
          <w:color w:val="auto"/>
          <w:spacing w:val="4"/>
          <w:sz w:val="28"/>
          <w:szCs w:val="28"/>
        </w:rPr>
        <w:t>重点区域供水安全保障能力得到进一步提升。</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b/>
          <w:color w:val="auto"/>
          <w:spacing w:val="4"/>
          <w:sz w:val="28"/>
          <w:szCs w:val="28"/>
        </w:rPr>
        <w:t>持续推进勐海大型灌区续建配套与节水改造</w:t>
      </w:r>
      <w:r>
        <w:rPr>
          <w:rFonts w:hint="eastAsia" w:ascii="Times New Roman" w:hAnsi="Times New Roman" w:eastAsia="仿宋_GB2312"/>
          <w:b/>
          <w:color w:val="auto"/>
          <w:spacing w:val="4"/>
          <w:sz w:val="28"/>
          <w:szCs w:val="28"/>
        </w:rPr>
        <w:t>。</w:t>
      </w:r>
      <w:r>
        <w:rPr>
          <w:rFonts w:ascii="Times New Roman" w:hAnsi="Times New Roman" w:eastAsia="仿宋_GB2312"/>
          <w:color w:val="auto"/>
          <w:spacing w:val="4"/>
          <w:sz w:val="28"/>
          <w:szCs w:val="28"/>
        </w:rPr>
        <w:t>勐海县“十三五”期间</w:t>
      </w:r>
      <w:r>
        <w:rPr>
          <w:rFonts w:hint="eastAsia" w:ascii="Times New Roman" w:hAnsi="Times New Roman" w:eastAsia="仿宋_GB2312"/>
          <w:color w:val="auto"/>
          <w:spacing w:val="4"/>
          <w:sz w:val="28"/>
          <w:szCs w:val="28"/>
        </w:rPr>
        <w:t>勐海大型灌区2件节水续建配套工程和1件量测水设施已动工建设，已完成主体工程3件，完成投资4870.81万元</w:t>
      </w:r>
      <w:r>
        <w:rPr>
          <w:rFonts w:ascii="Times New Roman" w:hAnsi="Times New Roman" w:eastAsia="仿宋_GB2312"/>
          <w:color w:val="auto"/>
          <w:spacing w:val="4"/>
          <w:sz w:val="28"/>
          <w:szCs w:val="28"/>
        </w:rPr>
        <w:t>。其中</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2016年主要完成了勐混片区曼国倒虹吸7.84km及75座渠系建筑物，项目完成后新增灌溉面积0.76万亩，改善灌溉面积0.3万亩，年节水量88万m</w:t>
      </w:r>
      <w:r>
        <w:rPr>
          <w:rFonts w:ascii="Times New Roman" w:hAnsi="Times New Roman" w:eastAsia="仿宋_GB2312"/>
          <w:color w:val="auto"/>
          <w:spacing w:val="4"/>
          <w:sz w:val="28"/>
          <w:szCs w:val="28"/>
          <w:vertAlign w:val="superscript"/>
        </w:rPr>
        <w:t>3</w:t>
      </w:r>
      <w:r>
        <w:rPr>
          <w:rFonts w:ascii="Times New Roman" w:hAnsi="Times New Roman" w:eastAsia="方正仿宋_GBK"/>
          <w:sz w:val="28"/>
          <w:szCs w:val="28"/>
        </w:rPr>
        <w:t>；2017年主要对勐遮、勐海、勐混片区建设8条渠道</w:t>
      </w:r>
      <w:r>
        <w:rPr>
          <w:rFonts w:hint="eastAsia" w:ascii="Times New Roman" w:hAnsi="Times New Roman" w:eastAsia="方正仿宋_GBK"/>
          <w:sz w:val="28"/>
          <w:szCs w:val="28"/>
        </w:rPr>
        <w:t>（</w:t>
      </w:r>
      <w:r>
        <w:rPr>
          <w:rFonts w:ascii="Times New Roman" w:hAnsi="Times New Roman" w:eastAsia="方正仿宋_GBK"/>
          <w:sz w:val="28"/>
          <w:szCs w:val="28"/>
        </w:rPr>
        <w:t>总长24.18</w:t>
      </w:r>
      <w:r>
        <w:rPr>
          <w:rFonts w:hint="eastAsia" w:ascii="Times New Roman" w:hAnsi="Times New Roman" w:eastAsia="方正仿宋_GBK"/>
          <w:sz w:val="28"/>
          <w:szCs w:val="28"/>
        </w:rPr>
        <w:t>km）</w:t>
      </w:r>
      <w:r>
        <w:rPr>
          <w:rFonts w:ascii="Times New Roman" w:hAnsi="Times New Roman" w:eastAsia="方正仿宋_GBK"/>
          <w:sz w:val="28"/>
          <w:szCs w:val="28"/>
        </w:rPr>
        <w:t>进行防渗衬砌</w:t>
      </w:r>
      <w:r>
        <w:rPr>
          <w:rFonts w:ascii="Times New Roman" w:hAnsi="Times New Roman" w:eastAsia="仿宋_GB2312"/>
          <w:color w:val="auto"/>
          <w:spacing w:val="4"/>
          <w:sz w:val="28"/>
          <w:szCs w:val="28"/>
        </w:rPr>
        <w:t>，</w:t>
      </w:r>
      <w:r>
        <w:rPr>
          <w:rFonts w:ascii="Times New Roman" w:hAnsi="Times New Roman" w:eastAsia="方正仿宋_GBK"/>
          <w:sz w:val="28"/>
          <w:szCs w:val="28"/>
        </w:rPr>
        <w:t>灌区续建配套与节水改造持续推进，为促进农业生产、保障粮食安全提供了有力保障。</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b/>
          <w:color w:val="auto"/>
          <w:spacing w:val="4"/>
          <w:sz w:val="28"/>
          <w:szCs w:val="28"/>
        </w:rPr>
        <w:t>加快实施农村饮水安全巩固提升工程，特别是把贫困地区农村饮水安全摆在突出位置。</w:t>
      </w:r>
      <w:r>
        <w:rPr>
          <w:rFonts w:ascii="Times New Roman" w:hAnsi="Times New Roman" w:eastAsia="仿宋_GB2312"/>
          <w:color w:val="auto"/>
          <w:spacing w:val="4"/>
          <w:sz w:val="28"/>
          <w:szCs w:val="28"/>
        </w:rPr>
        <w:t>“十三五”以来，勐海县已动工建设的农村饮水安全项目3</w:t>
      </w:r>
      <w:r>
        <w:rPr>
          <w:rFonts w:hint="eastAsia" w:ascii="Times New Roman" w:hAnsi="Times New Roman" w:eastAsia="仿宋_GB2312"/>
          <w:color w:val="auto"/>
          <w:spacing w:val="4"/>
          <w:sz w:val="28"/>
          <w:szCs w:val="28"/>
        </w:rPr>
        <w:t>个</w:t>
      </w:r>
      <w:r>
        <w:rPr>
          <w:rFonts w:ascii="Times New Roman" w:hAnsi="Times New Roman" w:eastAsia="仿宋_GB2312"/>
          <w:color w:val="auto"/>
          <w:spacing w:val="4"/>
          <w:sz w:val="28"/>
          <w:szCs w:val="28"/>
        </w:rPr>
        <w:t>批次，</w:t>
      </w:r>
      <w:r>
        <w:rPr>
          <w:rFonts w:hint="eastAsia" w:ascii="Times New Roman" w:hAnsi="Times New Roman" w:eastAsia="仿宋_GB2312"/>
          <w:color w:val="auto"/>
          <w:spacing w:val="4"/>
          <w:sz w:val="28"/>
          <w:szCs w:val="28"/>
        </w:rPr>
        <w:t>已</w:t>
      </w:r>
      <w:r>
        <w:rPr>
          <w:rFonts w:ascii="Times New Roman" w:hAnsi="Times New Roman" w:eastAsia="仿宋_GB2312"/>
          <w:color w:val="auto"/>
          <w:spacing w:val="4"/>
          <w:sz w:val="28"/>
          <w:szCs w:val="28"/>
        </w:rPr>
        <w:t>建设完成2</w:t>
      </w:r>
      <w:r>
        <w:rPr>
          <w:rFonts w:hint="eastAsia" w:ascii="Times New Roman" w:hAnsi="Times New Roman" w:eastAsia="仿宋_GB2312"/>
          <w:color w:val="auto"/>
          <w:spacing w:val="4"/>
          <w:sz w:val="28"/>
          <w:szCs w:val="28"/>
        </w:rPr>
        <w:t>个</w:t>
      </w:r>
      <w:r>
        <w:rPr>
          <w:rFonts w:ascii="Times New Roman" w:hAnsi="Times New Roman" w:eastAsia="仿宋_GB2312"/>
          <w:color w:val="auto"/>
          <w:spacing w:val="4"/>
          <w:sz w:val="28"/>
          <w:szCs w:val="28"/>
        </w:rPr>
        <w:t>批次</w:t>
      </w:r>
      <w:r>
        <w:rPr>
          <w:rFonts w:hint="eastAsia" w:ascii="Times New Roman" w:hAnsi="Times New Roman" w:eastAsia="仿宋_GB2312"/>
          <w:color w:val="auto"/>
          <w:spacing w:val="4"/>
          <w:sz w:val="28"/>
          <w:szCs w:val="28"/>
        </w:rPr>
        <w:t>667件工程</w:t>
      </w:r>
      <w:r>
        <w:rPr>
          <w:rFonts w:ascii="Times New Roman" w:hAnsi="Times New Roman" w:eastAsia="仿宋_GB2312"/>
          <w:color w:val="auto"/>
          <w:spacing w:val="4"/>
          <w:sz w:val="28"/>
          <w:szCs w:val="28"/>
        </w:rPr>
        <w:t>。其中，2016年度农村饮水安全巩固提升项目改善9.71万人饮水问题，涉及贫困人口1.53万人，工程于2017年10月完工；2017年度农村饮水安全巩固提升项目，解决5.21万人饮水安全问题，2018年年末完工；第</w:t>
      </w:r>
      <w:r>
        <w:rPr>
          <w:rFonts w:hint="eastAsia" w:ascii="Times New Roman" w:hAnsi="Times New Roman" w:eastAsia="仿宋_GB2312"/>
          <w:color w:val="auto"/>
          <w:spacing w:val="4"/>
          <w:sz w:val="28"/>
          <w:szCs w:val="28"/>
        </w:rPr>
        <w:t>三</w:t>
      </w:r>
      <w:r>
        <w:rPr>
          <w:rFonts w:ascii="Times New Roman" w:hAnsi="Times New Roman" w:eastAsia="仿宋_GB2312"/>
          <w:color w:val="auto"/>
          <w:spacing w:val="4"/>
          <w:sz w:val="28"/>
          <w:szCs w:val="28"/>
        </w:rPr>
        <w:t>批村饮水安全巩固提升项目正在施工建设中。</w:t>
      </w:r>
    </w:p>
    <w:p>
      <w:pPr>
        <w:numPr>
          <w:ilvl w:val="2"/>
          <w:numId w:val="1"/>
        </w:numPr>
        <w:spacing w:before="120" w:after="120" w:line="360" w:lineRule="auto"/>
        <w:jc w:val="left"/>
        <w:outlineLvl w:val="2"/>
        <w:rPr>
          <w:rFonts w:ascii="Times New Roman" w:hAnsi="Times New Roman" w:eastAsia="黑体"/>
          <w:color w:val="auto"/>
          <w:sz w:val="28"/>
          <w:szCs w:val="32"/>
        </w:rPr>
      </w:pPr>
      <w:r>
        <w:rPr>
          <w:rFonts w:ascii="Times New Roman" w:hAnsi="Times New Roman" w:eastAsia="黑体"/>
          <w:color w:val="auto"/>
          <w:sz w:val="28"/>
          <w:szCs w:val="32"/>
        </w:rPr>
        <w:t>水生态保护与修复取得新突破</w:t>
      </w:r>
    </w:p>
    <w:p>
      <w:pPr>
        <w:adjustRightInd w:val="0"/>
        <w:snapToGrid w:val="0"/>
        <w:spacing w:line="360" w:lineRule="auto"/>
        <w:ind w:firstLine="560" w:firstLineChars="200"/>
        <w:rPr>
          <w:rFonts w:ascii="Times New Roman" w:hAnsi="Times New Roman" w:eastAsia="仿宋_GB2312"/>
          <w:sz w:val="28"/>
          <w:szCs w:val="28"/>
        </w:rPr>
      </w:pPr>
      <w:commentRangeStart w:id="7"/>
      <w:r>
        <w:rPr>
          <w:rFonts w:ascii="Times New Roman" w:hAnsi="Times New Roman" w:eastAsia="仿宋_GB2312"/>
          <w:sz w:val="28"/>
          <w:szCs w:val="28"/>
        </w:rPr>
        <w:t>统筹山水</w:t>
      </w:r>
      <w:commentRangeEnd w:id="7"/>
      <w:r>
        <w:rPr>
          <w:rStyle w:val="39"/>
          <w:rFonts w:ascii="Times New Roman" w:hAnsi="Times New Roman"/>
        </w:rPr>
        <w:commentReference w:id="7"/>
      </w:r>
      <w:r>
        <w:rPr>
          <w:rFonts w:ascii="Times New Roman" w:hAnsi="Times New Roman" w:eastAsia="仿宋_GB2312"/>
          <w:sz w:val="28"/>
          <w:szCs w:val="28"/>
        </w:rPr>
        <w:t>林田湖草系统治理，将河湖生态水量纳入水资源配置和管理。勐海县已完成勐满水库水源林保护与修复工程，主要建设内容包括修建隔离防护墙、面源污染防治、生态修复与保护等；完成勐海县那达勐水库、</w:t>
      </w:r>
      <w:r>
        <w:rPr>
          <w:rFonts w:hint="eastAsia" w:ascii="Times New Roman" w:hAnsi="Times New Roman" w:eastAsia="仿宋_GB2312"/>
          <w:sz w:val="28"/>
          <w:szCs w:val="28"/>
        </w:rPr>
        <w:t>勐</w:t>
      </w:r>
      <w:r>
        <w:rPr>
          <w:rFonts w:ascii="Times New Roman" w:hAnsi="Times New Roman" w:eastAsia="仿宋_GB2312"/>
          <w:sz w:val="28"/>
          <w:szCs w:val="28"/>
        </w:rPr>
        <w:t>邦水库、曼彦河及南览河饮用水水源地保护与修复工程；开展流沙河流域入河排污口整治工程，建设一套完备的监控体系和长期有效的整治工程。勐海县 “十三五”期间实施完成了</w:t>
      </w:r>
      <w:commentRangeStart w:id="8"/>
      <w:r>
        <w:rPr>
          <w:rFonts w:hint="eastAsia" w:ascii="Times New Roman" w:hAnsi="Times New Roman" w:eastAsia="仿宋_GB2312"/>
          <w:sz w:val="28"/>
          <w:szCs w:val="28"/>
        </w:rPr>
        <w:t>勐宋乡</w:t>
      </w:r>
      <w:commentRangeEnd w:id="8"/>
      <w:r>
        <w:rPr>
          <w:rStyle w:val="39"/>
        </w:rPr>
        <w:commentReference w:id="8"/>
      </w:r>
      <w:r>
        <w:rPr>
          <w:rFonts w:hint="eastAsia" w:ascii="Times New Roman" w:hAnsi="Times New Roman" w:eastAsia="仿宋_GB2312"/>
          <w:sz w:val="28"/>
          <w:szCs w:val="28"/>
        </w:rPr>
        <w:t>南政河生态小流域治理工程、南冷河小流域水保治理工程、那达勐小流域水保治理工程、曼点生态清洁生态小流域门卡河片区治理工程建设，并建成勐邦水库水土保持监测站，已</w:t>
      </w:r>
      <w:r>
        <w:rPr>
          <w:rFonts w:ascii="Times New Roman" w:hAnsi="Times New Roman" w:eastAsia="仿宋_GB2312"/>
          <w:sz w:val="28"/>
          <w:szCs w:val="28"/>
        </w:rPr>
        <w:t>完成</w:t>
      </w:r>
      <w:r>
        <w:rPr>
          <w:rFonts w:hint="eastAsia" w:ascii="Times New Roman" w:hAnsi="Times New Roman" w:eastAsia="仿宋_GB2312"/>
          <w:sz w:val="28"/>
          <w:szCs w:val="28"/>
        </w:rPr>
        <w:t>水土保持生态治理项目5项，项目总投资1277.23万元。</w:t>
      </w:r>
    </w:p>
    <w:p>
      <w:pPr>
        <w:numPr>
          <w:ilvl w:val="2"/>
          <w:numId w:val="1"/>
        </w:numPr>
        <w:spacing w:before="120" w:after="120" w:line="360" w:lineRule="auto"/>
        <w:jc w:val="left"/>
        <w:outlineLvl w:val="2"/>
        <w:rPr>
          <w:rFonts w:ascii="Times New Roman" w:hAnsi="Times New Roman" w:eastAsia="黑体"/>
          <w:color w:val="auto"/>
          <w:sz w:val="28"/>
          <w:szCs w:val="32"/>
        </w:rPr>
      </w:pPr>
      <w:r>
        <w:rPr>
          <w:rFonts w:ascii="Times New Roman" w:hAnsi="Times New Roman" w:eastAsia="黑体"/>
          <w:color w:val="auto"/>
          <w:sz w:val="28"/>
          <w:szCs w:val="32"/>
        </w:rPr>
        <w:t>涉水事务监管能力不断提升</w:t>
      </w:r>
    </w:p>
    <w:p>
      <w:pPr>
        <w:adjustRightInd w:val="0"/>
        <w:snapToGrid w:val="0"/>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全面推进河长制湖长制，提前实现“每条河流要有河长了”的要求，勐海县总河长为</w:t>
      </w:r>
      <w:commentRangeStart w:id="9"/>
      <w:r>
        <w:rPr>
          <w:rFonts w:ascii="Times New Roman" w:hAnsi="Times New Roman" w:eastAsia="仿宋_GB2312"/>
          <w:sz w:val="28"/>
          <w:szCs w:val="28"/>
        </w:rPr>
        <w:t>洪</w:t>
      </w:r>
      <w:commentRangeEnd w:id="9"/>
      <w:r>
        <w:rPr>
          <w:rStyle w:val="39"/>
        </w:rPr>
        <w:commentReference w:id="9"/>
      </w:r>
      <w:r>
        <w:rPr>
          <w:rFonts w:ascii="Times New Roman" w:hAnsi="Times New Roman" w:eastAsia="仿宋_GB2312"/>
          <w:sz w:val="28"/>
          <w:szCs w:val="28"/>
        </w:rPr>
        <w:t>国正</w:t>
      </w:r>
      <w:r>
        <w:rPr>
          <w:rFonts w:hint="eastAsia" w:ascii="Times New Roman" w:hAnsi="Times New Roman" w:eastAsia="仿宋_GB2312"/>
          <w:sz w:val="28"/>
          <w:szCs w:val="28"/>
        </w:rPr>
        <w:t>（</w:t>
      </w:r>
      <w:r>
        <w:rPr>
          <w:rFonts w:ascii="Times New Roman" w:hAnsi="Times New Roman" w:eastAsia="仿宋_GB2312"/>
          <w:sz w:val="28"/>
          <w:szCs w:val="28"/>
        </w:rPr>
        <w:t>州人大常委会副主任、县委书记</w:t>
      </w:r>
      <w:r>
        <w:rPr>
          <w:rFonts w:hint="eastAsia" w:ascii="Times New Roman" w:hAnsi="Times New Roman" w:eastAsia="仿宋_GB2312"/>
          <w:sz w:val="28"/>
          <w:szCs w:val="28"/>
        </w:rPr>
        <w:t>）、副总河长为张世影（</w:t>
      </w:r>
      <w:r>
        <w:rPr>
          <w:rFonts w:ascii="Times New Roman" w:hAnsi="Times New Roman" w:eastAsia="仿宋_GB2312"/>
          <w:sz w:val="28"/>
          <w:szCs w:val="28"/>
        </w:rPr>
        <w:t>县委副书记、县人民政府县长</w:t>
      </w:r>
      <w:r>
        <w:rPr>
          <w:rFonts w:hint="eastAsia" w:ascii="Times New Roman" w:hAnsi="Times New Roman" w:eastAsia="仿宋_GB2312"/>
          <w:sz w:val="28"/>
          <w:szCs w:val="28"/>
        </w:rPr>
        <w:t>），总</w:t>
      </w:r>
      <w:r>
        <w:rPr>
          <w:rFonts w:ascii="Times New Roman" w:hAnsi="Times New Roman" w:eastAsia="仿宋_GB2312"/>
          <w:sz w:val="28"/>
          <w:szCs w:val="28"/>
        </w:rPr>
        <w:t>督察</w:t>
      </w:r>
      <w:r>
        <w:rPr>
          <w:rFonts w:hint="eastAsia" w:ascii="Times New Roman" w:hAnsi="Times New Roman" w:eastAsia="仿宋_GB2312"/>
          <w:sz w:val="28"/>
          <w:szCs w:val="28"/>
        </w:rPr>
        <w:t>为</w:t>
      </w:r>
      <w:r>
        <w:rPr>
          <w:rFonts w:ascii="Times New Roman" w:hAnsi="Times New Roman" w:eastAsia="仿宋_GB2312"/>
          <w:sz w:val="28"/>
          <w:szCs w:val="28"/>
        </w:rPr>
        <w:t>付开云</w:t>
      </w:r>
      <w:r>
        <w:rPr>
          <w:rFonts w:hint="eastAsia" w:ascii="Times New Roman" w:hAnsi="Times New Roman" w:eastAsia="仿宋_GB2312"/>
          <w:sz w:val="28"/>
          <w:szCs w:val="28"/>
        </w:rPr>
        <w:t>（</w:t>
      </w:r>
      <w:r>
        <w:rPr>
          <w:rFonts w:ascii="Times New Roman" w:hAnsi="Times New Roman" w:eastAsia="仿宋_GB2312"/>
          <w:sz w:val="28"/>
          <w:szCs w:val="28"/>
        </w:rPr>
        <w:t>县委副书记、县委党校校长</w:t>
      </w:r>
      <w:r>
        <w:rPr>
          <w:rFonts w:hint="eastAsia" w:ascii="Times New Roman" w:hAnsi="Times New Roman" w:eastAsia="仿宋_GB2312"/>
          <w:sz w:val="28"/>
          <w:szCs w:val="28"/>
        </w:rPr>
        <w:t>），副总督察岳滇勇（</w:t>
      </w:r>
      <w:r>
        <w:rPr>
          <w:rFonts w:ascii="Times New Roman" w:hAnsi="Times New Roman" w:eastAsia="仿宋_GB2312"/>
          <w:sz w:val="28"/>
          <w:szCs w:val="28"/>
        </w:rPr>
        <w:t>县人大常委会主任</w:t>
      </w:r>
      <w:r>
        <w:rPr>
          <w:rFonts w:hint="eastAsia" w:ascii="Times New Roman" w:hAnsi="Times New Roman" w:eastAsia="仿宋_GB2312"/>
          <w:sz w:val="28"/>
          <w:szCs w:val="28"/>
        </w:rPr>
        <w:t>）和王建国（</w:t>
      </w:r>
      <w:r>
        <w:rPr>
          <w:rFonts w:ascii="Times New Roman" w:hAnsi="Times New Roman" w:eastAsia="仿宋_GB2312"/>
          <w:sz w:val="28"/>
          <w:szCs w:val="28"/>
        </w:rPr>
        <w:t>县政协主席</w:t>
      </w:r>
      <w:r>
        <w:rPr>
          <w:rFonts w:hint="eastAsia" w:ascii="Times New Roman" w:hAnsi="Times New Roman" w:eastAsia="仿宋_GB2312"/>
          <w:sz w:val="28"/>
          <w:szCs w:val="28"/>
        </w:rPr>
        <w:t>）</w:t>
      </w:r>
    </w:p>
    <w:p>
      <w:pPr>
        <w:adjustRightInd w:val="0"/>
        <w:snapToGrid w:val="0"/>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深入开展“清四乱”专项行动，加快推进河长制湖长制从“有名”到“有实”的转变，河湖面貌逐步好转。把节水作为解决勐海县水资源短缺问题的根本之策，落实国家节水行动方案。实行最严格的水资源管理制度，强化水资源消耗总量与强度双控。加强水利工程建设和运行管理。推进水资源费改税试点和农业水价综合改革，深化水利“放管服”改革。“十三五”期间勐海县河长制全面落实，水生态文明基础夯实。全面推行“河长制”，建立河道管理责任体系、督查体系，明确河道管理责任内容。水法治加快建设，水利公共服务能力大幅提升。配合省州全面建立最严格水资源管理制度体系，行政许可审批事项通过取消和整合，取消了所有非行政许可审批事项。</w:t>
      </w:r>
    </w:p>
    <w:p>
      <w:pPr>
        <w:adjustRightInd w:val="0"/>
        <w:snapToGrid w:val="0"/>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总体来看，经过多年努力，勐海县水安全保障能力不断提升，根据有关研究成果综合评判，目前勐海县水安全总体处于基本安全状态。以用水量的微增长支撑了经济社会持续发展，正常年景情况下可基本保障城乡供水安全；水生态环境状况持续改善、稳中向好。</w:t>
      </w:r>
    </w:p>
    <w:p>
      <w:pPr>
        <w:pStyle w:val="4"/>
        <w:rPr>
          <w:rFonts w:ascii="Times New Roman" w:hAnsi="Times New Roman"/>
        </w:rPr>
      </w:pPr>
      <w:bookmarkStart w:id="18" w:name="_Toc62461303"/>
      <w:r>
        <w:rPr>
          <w:rFonts w:ascii="Times New Roman" w:hAnsi="Times New Roman"/>
        </w:rPr>
        <w:t>面临形势</w:t>
      </w:r>
      <w:bookmarkEnd w:id="16"/>
      <w:bookmarkEnd w:id="18"/>
    </w:p>
    <w:p>
      <w:pPr>
        <w:pStyle w:val="3"/>
        <w:ind w:firstLine="576"/>
      </w:pPr>
      <w:r>
        <w:t>“十四五”时期，是我国“两个一百年”奋斗目标的历史交汇期，是勐海县全面建成小康社会向基本实现社会主义现代化迈进的关键时期，是开启社会主义现代化建设新征程的重要机遇期</w:t>
      </w:r>
      <w:r>
        <w:rPr>
          <w:rFonts w:hint="eastAsia"/>
        </w:rPr>
        <w:t>。</w:t>
      </w:r>
      <w:r>
        <w:t>党的十九大在新的历史方位</w:t>
      </w:r>
      <w:r>
        <w:rPr>
          <w:rFonts w:hint="eastAsia"/>
        </w:rPr>
        <w:t>，</w:t>
      </w:r>
      <w:r>
        <w:t>提出</w:t>
      </w:r>
      <w:r>
        <w:rPr>
          <w:rFonts w:hint="eastAsia"/>
        </w:rPr>
        <w:t>“两步走”战略安排，作出推动高质量发展，推进国家治理体系和治理能力现代化、实施乡村振兴和区域协调发展战略等重大决策部署，为新时代水安全保障指明了方向，水安全保障工作面临难得的机遇。随着经济社会发展，发展与保护的矛盾日益突出，伴随经济下行压力加大，极端天气事件增加，导致水安全风险防范和应对难度日益加大。随着经济社会发展，人民群众对防洪安全、优质水资源、健康水生态、宜居水环境、先进水文化提出了更高需求，治水主要矛盾发生变化，勐海县水安全保障仍存在不少差距和短板。</w:t>
      </w:r>
    </w:p>
    <w:p>
      <w:pPr>
        <w:pStyle w:val="5"/>
      </w:pPr>
      <w:r>
        <w:t>防洪减灾体系存在突出短板</w:t>
      </w:r>
      <w:r>
        <w:rPr>
          <w:rFonts w:hint="eastAsia"/>
        </w:rPr>
        <w:t>，</w:t>
      </w:r>
      <w:r>
        <w:t>洪涝灾害依然是最大威胁</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流域性大洪水和超标准洪水风险威胁勐海县经济社会发展。</w:t>
      </w:r>
      <w:r>
        <w:rPr>
          <w:rFonts w:ascii="Times New Roman" w:hAnsi="Times New Roman" w:eastAsia="仿宋_GB2312"/>
          <w:color w:val="auto"/>
          <w:spacing w:val="4"/>
          <w:sz w:val="28"/>
          <w:szCs w:val="28"/>
        </w:rPr>
        <w:t>目前</w:t>
      </w:r>
      <w:r>
        <w:rPr>
          <w:rFonts w:hint="eastAsia" w:ascii="Times New Roman" w:hAnsi="Times New Roman" w:eastAsia="仿宋_GB2312"/>
          <w:color w:val="auto"/>
          <w:spacing w:val="4"/>
          <w:sz w:val="28"/>
          <w:szCs w:val="28"/>
        </w:rPr>
        <w:t>，勐海县</w:t>
      </w:r>
      <w:r>
        <w:rPr>
          <w:rFonts w:ascii="Times New Roman" w:hAnsi="Times New Roman" w:eastAsia="仿宋_GB2312"/>
          <w:color w:val="auto"/>
          <w:spacing w:val="4"/>
          <w:sz w:val="28"/>
          <w:szCs w:val="28"/>
        </w:rPr>
        <w:t>勐往河</w:t>
      </w:r>
      <w:r>
        <w:rPr>
          <w:rFonts w:hint="eastAsia" w:ascii="Times New Roman" w:hAnsi="Times New Roman" w:eastAsia="仿宋_GB2312"/>
          <w:color w:val="auto"/>
          <w:spacing w:val="4"/>
          <w:sz w:val="28"/>
          <w:szCs w:val="28"/>
        </w:rPr>
        <w:t>、南满河、南啊河、南果河、流沙河、南披河等中小河流</w:t>
      </w:r>
      <w:r>
        <w:rPr>
          <w:rFonts w:ascii="Times New Roman" w:hAnsi="Times New Roman" w:eastAsia="仿宋_GB2312"/>
          <w:color w:val="auto"/>
          <w:spacing w:val="4"/>
          <w:sz w:val="28"/>
          <w:szCs w:val="28"/>
        </w:rPr>
        <w:t>现状防洪标准不足</w:t>
      </w:r>
      <w:r>
        <w:rPr>
          <w:rFonts w:hint="eastAsia" w:ascii="Times New Roman" w:hAnsi="Times New Roman" w:eastAsia="仿宋_GB2312"/>
          <w:color w:val="auto"/>
          <w:spacing w:val="4"/>
          <w:sz w:val="28"/>
          <w:szCs w:val="28"/>
        </w:rPr>
        <w:t>5</w:t>
      </w:r>
      <w:r>
        <w:rPr>
          <w:rFonts w:ascii="Times New Roman" w:hAnsi="Times New Roman" w:eastAsia="仿宋_GB2312"/>
          <w:color w:val="auto"/>
          <w:spacing w:val="4"/>
          <w:sz w:val="28"/>
          <w:szCs w:val="28"/>
        </w:rPr>
        <w:t>年一</w:t>
      </w:r>
      <w:commentRangeStart w:id="10"/>
      <w:r>
        <w:rPr>
          <w:rFonts w:ascii="Times New Roman" w:hAnsi="Times New Roman" w:eastAsia="仿宋_GB2312"/>
          <w:color w:val="auto"/>
          <w:spacing w:val="4"/>
          <w:sz w:val="28"/>
          <w:szCs w:val="28"/>
        </w:rPr>
        <w:t>遇</w:t>
      </w:r>
      <w:commentRangeEnd w:id="10"/>
      <w:r>
        <w:rPr>
          <w:rStyle w:val="39"/>
        </w:rPr>
        <w:commentReference w:id="10"/>
      </w:r>
      <w:r>
        <w:rPr>
          <w:rFonts w:ascii="Times New Roman" w:hAnsi="Times New Roman" w:eastAsia="仿宋_GB2312"/>
          <w:color w:val="auto"/>
          <w:spacing w:val="4"/>
          <w:sz w:val="28"/>
          <w:szCs w:val="28"/>
        </w:rPr>
        <w:t>，防洪形势严峻</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南吕河</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南涧河</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付腊河</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曼方河等山洪沟尚未治理，山洪灾害问题十分突出</w:t>
      </w:r>
      <w:r>
        <w:rPr>
          <w:rFonts w:hint="eastAsia" w:ascii="Times New Roman" w:hAnsi="Times New Roman" w:eastAsia="仿宋_GB2312"/>
          <w:color w:val="auto"/>
          <w:spacing w:val="4"/>
          <w:sz w:val="28"/>
          <w:szCs w:val="28"/>
        </w:rPr>
        <w:t>；那达勐水库和十二公里闸、曼宰龙水闸等14</w:t>
      </w:r>
      <w:r>
        <w:rPr>
          <w:rFonts w:ascii="Times New Roman" w:hAnsi="Times New Roman" w:eastAsia="仿宋_GB2312"/>
          <w:color w:val="auto"/>
          <w:spacing w:val="4"/>
          <w:sz w:val="28"/>
          <w:szCs w:val="28"/>
        </w:rPr>
        <w:t>座水</w:t>
      </w:r>
      <w:r>
        <w:rPr>
          <w:rFonts w:hint="eastAsia" w:ascii="Times New Roman" w:hAnsi="Times New Roman" w:eastAsia="仿宋_GB2312"/>
          <w:color w:val="auto"/>
          <w:spacing w:val="4"/>
          <w:sz w:val="28"/>
          <w:szCs w:val="28"/>
        </w:rPr>
        <w:t>闸</w:t>
      </w:r>
      <w:r>
        <w:rPr>
          <w:rFonts w:ascii="Times New Roman" w:hAnsi="Times New Roman" w:eastAsia="仿宋_GB2312"/>
          <w:color w:val="auto"/>
          <w:spacing w:val="4"/>
          <w:sz w:val="28"/>
          <w:szCs w:val="28"/>
        </w:rPr>
        <w:t>存在</w:t>
      </w:r>
      <w:r>
        <w:rPr>
          <w:rFonts w:hint="eastAsia" w:ascii="Times New Roman" w:hAnsi="Times New Roman" w:eastAsia="仿宋_GB2312"/>
          <w:color w:val="auto"/>
          <w:spacing w:val="4"/>
          <w:sz w:val="28"/>
          <w:szCs w:val="28"/>
        </w:rPr>
        <w:t>建筑物及金属结构老化，整体抗滑稳定不满足要求的问题，防洪能力不达标</w:t>
      </w:r>
      <w:r>
        <w:rPr>
          <w:rFonts w:ascii="Times New Roman" w:hAnsi="Times New Roman" w:eastAsia="仿宋_GB2312"/>
          <w:color w:val="auto"/>
          <w:spacing w:val="4"/>
          <w:sz w:val="28"/>
          <w:szCs w:val="28"/>
        </w:rPr>
        <w:t>。随着勐海县经济总量不断增加，人口财富聚集加快，许多地方越来越淹不起，保障全县防洪安全任务依然艰巨。</w:t>
      </w:r>
    </w:p>
    <w:p>
      <w:pPr>
        <w:pStyle w:val="5"/>
      </w:pPr>
      <w:r>
        <w:t>经济社会布局与水资源承载力不匹配</w:t>
      </w:r>
      <w:r>
        <w:rPr>
          <w:rFonts w:hint="eastAsia"/>
        </w:rPr>
        <w:t>，</w:t>
      </w:r>
      <w:r>
        <w:t>水资源均衡性问题依然是最突出矛盾</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勐海县已建水库总库容</w:t>
      </w:r>
      <w:r>
        <w:rPr>
          <w:rFonts w:hint="eastAsia" w:ascii="Times New Roman" w:hAnsi="Times New Roman" w:eastAsia="仿宋_GB2312"/>
          <w:color w:val="auto"/>
          <w:spacing w:val="4"/>
          <w:sz w:val="28"/>
          <w:szCs w:val="28"/>
        </w:rPr>
        <w:t>14816</w:t>
      </w:r>
      <w:r>
        <w:rPr>
          <w:rFonts w:ascii="Times New Roman" w:hAnsi="Times New Roman" w:eastAsia="仿宋_GB2312"/>
          <w:color w:val="auto"/>
          <w:spacing w:val="4"/>
          <w:sz w:val="28"/>
          <w:szCs w:val="28"/>
        </w:rPr>
        <w:t>万m</w:t>
      </w:r>
      <w:r>
        <w:rPr>
          <w:rFonts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人均库容</w:t>
      </w:r>
      <w:r>
        <w:rPr>
          <w:rFonts w:hint="eastAsia" w:ascii="Times New Roman" w:hAnsi="Times New Roman" w:eastAsia="仿宋_GB2312"/>
          <w:color w:val="auto"/>
          <w:spacing w:val="4"/>
          <w:sz w:val="28"/>
          <w:szCs w:val="28"/>
        </w:rPr>
        <w:t>341.7</w:t>
      </w:r>
      <w:r>
        <w:rPr>
          <w:rFonts w:ascii="Times New Roman" w:hAnsi="Times New Roman" w:eastAsia="仿宋_GB2312"/>
          <w:color w:val="auto"/>
          <w:spacing w:val="4"/>
          <w:sz w:val="28"/>
          <w:szCs w:val="28"/>
        </w:rPr>
        <w:t xml:space="preserve"> m</w:t>
      </w:r>
      <w:r>
        <w:rPr>
          <w:rFonts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，供水总量18423</w:t>
      </w:r>
      <w:r>
        <w:rPr>
          <w:rFonts w:ascii="Times New Roman" w:hAnsi="Times New Roman" w:eastAsia="仿宋_GB2312"/>
          <w:color w:val="auto"/>
          <w:spacing w:val="4"/>
          <w:sz w:val="28"/>
          <w:szCs w:val="28"/>
        </w:rPr>
        <w:t>万m</w:t>
      </w:r>
      <w:r>
        <w:rPr>
          <w:rFonts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，人均536.8</w:t>
      </w:r>
      <w:r>
        <w:rPr>
          <w:rFonts w:ascii="Times New Roman" w:hAnsi="Times New Roman" w:eastAsia="仿宋_GB2312"/>
          <w:color w:val="auto"/>
          <w:spacing w:val="4"/>
          <w:sz w:val="28"/>
          <w:szCs w:val="28"/>
        </w:rPr>
        <w:t xml:space="preserve"> m</w:t>
      </w:r>
      <w:r>
        <w:rPr>
          <w:rFonts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勐海县水资源短缺问题十分突出，主要表现为水源工程</w:t>
      </w:r>
      <w:r>
        <w:rPr>
          <w:rFonts w:hint="eastAsia" w:ascii="Times New Roman" w:hAnsi="Times New Roman" w:eastAsia="仿宋_GB2312"/>
          <w:color w:val="auto"/>
          <w:spacing w:val="4"/>
          <w:sz w:val="28"/>
          <w:szCs w:val="28"/>
        </w:rPr>
        <w:t>与</w:t>
      </w:r>
      <w:r>
        <w:rPr>
          <w:rFonts w:ascii="Times New Roman" w:hAnsi="Times New Roman" w:eastAsia="仿宋_GB2312"/>
          <w:color w:val="auto"/>
          <w:spacing w:val="4"/>
          <w:sz w:val="28"/>
          <w:szCs w:val="28"/>
        </w:rPr>
        <w:t>人口数量不匹配</w:t>
      </w:r>
      <w:r>
        <w:rPr>
          <w:rFonts w:hint="eastAsia" w:ascii="Times New Roman" w:hAnsi="Times New Roman" w:eastAsia="仿宋_GB2312"/>
          <w:color w:val="auto"/>
          <w:spacing w:val="4"/>
          <w:sz w:val="28"/>
          <w:szCs w:val="28"/>
        </w:rPr>
        <w:t>，山区水源工程较少，</w:t>
      </w:r>
      <w:r>
        <w:rPr>
          <w:rFonts w:ascii="Times New Roman" w:hAnsi="Times New Roman" w:eastAsia="仿宋_GB2312"/>
          <w:color w:val="auto"/>
          <w:spacing w:val="4"/>
          <w:sz w:val="28"/>
          <w:szCs w:val="28"/>
        </w:rPr>
        <w:t>农村饮水工程标准较低，可持续性差，水质达标率不高等。此外</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勐海县布朗山乡</w:t>
      </w:r>
      <w:r>
        <w:rPr>
          <w:rFonts w:hint="eastAsia" w:ascii="Times New Roman" w:hAnsi="Times New Roman" w:eastAsia="仿宋_GB2312"/>
          <w:color w:val="auto"/>
          <w:spacing w:val="4"/>
          <w:sz w:val="28"/>
          <w:szCs w:val="28"/>
        </w:rPr>
        <w:t>、打洛镇、西定乡、勐满镇、勐宋乡等乡镇</w:t>
      </w:r>
      <w:r>
        <w:rPr>
          <w:rFonts w:ascii="Times New Roman" w:hAnsi="Times New Roman" w:eastAsia="仿宋_GB2312"/>
          <w:color w:val="auto"/>
          <w:spacing w:val="4"/>
          <w:sz w:val="28"/>
          <w:szCs w:val="28"/>
        </w:rPr>
        <w:t>供水工程大部分为河流引水工程</w:t>
      </w:r>
      <w:r>
        <w:rPr>
          <w:rFonts w:hint="eastAsia" w:ascii="Times New Roman" w:hAnsi="Times New Roman" w:eastAsia="仿宋_GB2312"/>
          <w:color w:val="auto"/>
          <w:spacing w:val="4"/>
          <w:sz w:val="28"/>
          <w:szCs w:val="28"/>
        </w:rPr>
        <w:t>，需水工程较少，供水</w:t>
      </w:r>
      <w:r>
        <w:rPr>
          <w:rFonts w:ascii="Times New Roman" w:hAnsi="Times New Roman" w:eastAsia="仿宋_GB2312"/>
          <w:color w:val="auto"/>
          <w:spacing w:val="4"/>
          <w:sz w:val="28"/>
          <w:szCs w:val="28"/>
        </w:rPr>
        <w:t>保障率较低</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水资源应急备用能力尚不能满足应对风险的需要。勐海县十三五期间完成高效节水灌溉</w:t>
      </w:r>
      <w:r>
        <w:rPr>
          <w:rFonts w:hint="eastAsia" w:ascii="Times New Roman" w:hAnsi="Times New Roman" w:eastAsia="仿宋_GB2312"/>
          <w:color w:val="auto"/>
          <w:spacing w:val="4"/>
          <w:sz w:val="28"/>
          <w:szCs w:val="28"/>
        </w:rPr>
        <w:t>1.12</w:t>
      </w:r>
      <w:commentRangeStart w:id="11"/>
      <w:r>
        <w:rPr>
          <w:rFonts w:hint="eastAsia" w:ascii="Times New Roman" w:hAnsi="Times New Roman" w:eastAsia="仿宋_GB2312"/>
          <w:color w:val="auto"/>
          <w:spacing w:val="4"/>
          <w:sz w:val="28"/>
          <w:szCs w:val="28"/>
        </w:rPr>
        <w:t>万亩</w:t>
      </w:r>
      <w:commentRangeEnd w:id="11"/>
      <w:r>
        <w:rPr>
          <w:rStyle w:val="39"/>
        </w:rPr>
        <w:commentReference w:id="11"/>
      </w:r>
      <w:r>
        <w:rPr>
          <w:rFonts w:hint="eastAsia" w:ascii="Times New Roman" w:hAnsi="Times New Roman" w:eastAsia="仿宋_GB2312"/>
          <w:color w:val="auto"/>
          <w:spacing w:val="4"/>
          <w:sz w:val="28"/>
          <w:szCs w:val="28"/>
        </w:rPr>
        <w:t>，占总耕园地数量的1.3%，</w:t>
      </w:r>
      <w:r>
        <w:rPr>
          <w:rFonts w:ascii="Times New Roman" w:hAnsi="Times New Roman" w:eastAsia="仿宋_GB2312"/>
          <w:color w:val="auto"/>
          <w:spacing w:val="4"/>
          <w:sz w:val="28"/>
          <w:szCs w:val="28"/>
        </w:rPr>
        <w:t>高效节水灌溉面积占比较小</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大部分农业用水区域配套不完善</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渠系设施建设滞后</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用水方式粗放</w:t>
      </w:r>
      <w:r>
        <w:rPr>
          <w:rFonts w:hint="eastAsia" w:ascii="Times New Roman" w:hAnsi="Times New Roman" w:eastAsia="仿宋_GB2312"/>
          <w:color w:val="auto"/>
          <w:spacing w:val="4"/>
          <w:sz w:val="28"/>
          <w:szCs w:val="28"/>
        </w:rPr>
        <w:t>，导致</w:t>
      </w:r>
      <w:r>
        <w:rPr>
          <w:rFonts w:ascii="Times New Roman" w:hAnsi="Times New Roman" w:eastAsia="仿宋_GB2312"/>
          <w:color w:val="auto"/>
          <w:spacing w:val="4"/>
          <w:sz w:val="28"/>
          <w:szCs w:val="28"/>
        </w:rPr>
        <w:t>农田灌溉水有效利用系数</w:t>
      </w:r>
      <w:r>
        <w:rPr>
          <w:rFonts w:hint="eastAsia" w:ascii="Times New Roman" w:hAnsi="Times New Roman" w:eastAsia="仿宋_GB2312"/>
          <w:color w:val="auto"/>
          <w:spacing w:val="4"/>
          <w:sz w:val="28"/>
          <w:szCs w:val="28"/>
        </w:rPr>
        <w:t>不</w:t>
      </w:r>
      <w:r>
        <w:rPr>
          <w:rFonts w:ascii="Times New Roman" w:hAnsi="Times New Roman" w:eastAsia="仿宋_GB2312"/>
          <w:color w:val="auto"/>
          <w:spacing w:val="4"/>
          <w:sz w:val="28"/>
          <w:szCs w:val="28"/>
        </w:rPr>
        <w:t>高</w:t>
      </w:r>
      <w:r>
        <w:rPr>
          <w:rFonts w:hint="eastAsia" w:ascii="Times New Roman" w:hAnsi="Times New Roman" w:eastAsia="仿宋_GB2312"/>
          <w:color w:val="auto"/>
          <w:spacing w:val="4"/>
          <w:sz w:val="28"/>
          <w:szCs w:val="28"/>
        </w:rPr>
        <w:t>，进而</w:t>
      </w:r>
      <w:r>
        <w:rPr>
          <w:rFonts w:ascii="Times New Roman" w:hAnsi="Times New Roman" w:eastAsia="仿宋_GB2312"/>
          <w:color w:val="auto"/>
          <w:spacing w:val="4"/>
          <w:sz w:val="28"/>
          <w:szCs w:val="28"/>
        </w:rPr>
        <w:t>加剧了水资源供需矛盾。随着勐海县城镇化、工业化现代化进程和生态文明建设加快，居民生活用水和生态用水将呈刚性增长，加之气候变化引起水资源系统不确定性增加，保障供水安全的压力越来越大。</w:t>
      </w:r>
    </w:p>
    <w:p>
      <w:pPr>
        <w:pStyle w:val="5"/>
      </w:pPr>
      <w:r>
        <w:t>水生态环境长期累积性问题突出</w:t>
      </w:r>
      <w:r>
        <w:rPr>
          <w:rFonts w:hint="eastAsia"/>
        </w:rPr>
        <w:t>，</w:t>
      </w:r>
      <w:r>
        <w:t>维护</w:t>
      </w:r>
      <w:r>
        <w:rPr>
          <w:rFonts w:hint="eastAsia"/>
        </w:rPr>
        <w:t>美丽</w:t>
      </w:r>
      <w:r>
        <w:t>健康河湖依然是最艰巨的任务</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勐海县</w:t>
      </w:r>
      <w:r>
        <w:rPr>
          <w:rFonts w:hint="eastAsia" w:ascii="Times New Roman" w:hAnsi="Times New Roman" w:eastAsia="仿宋_GB2312"/>
          <w:color w:val="auto"/>
          <w:spacing w:val="4"/>
          <w:sz w:val="28"/>
          <w:szCs w:val="28"/>
        </w:rPr>
        <w:t>曼点河、</w:t>
      </w:r>
      <w:r>
        <w:rPr>
          <w:rFonts w:ascii="Times New Roman" w:hAnsi="Times New Roman" w:eastAsia="仿宋_GB2312"/>
          <w:color w:val="auto"/>
          <w:spacing w:val="4"/>
          <w:sz w:val="28"/>
          <w:szCs w:val="28"/>
        </w:rPr>
        <w:t>密蚌河</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老坝河</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曼丹河</w:t>
      </w:r>
      <w:r>
        <w:rPr>
          <w:rFonts w:hint="eastAsia" w:ascii="Times New Roman" w:hAnsi="Times New Roman" w:eastAsia="仿宋_GB2312"/>
          <w:color w:val="auto"/>
          <w:spacing w:val="4"/>
          <w:sz w:val="28"/>
          <w:szCs w:val="28"/>
        </w:rPr>
        <w:t>和</w:t>
      </w:r>
      <w:r>
        <w:rPr>
          <w:rFonts w:ascii="Times New Roman" w:hAnsi="Times New Roman" w:eastAsia="仿宋_GB2312"/>
          <w:color w:val="auto"/>
          <w:spacing w:val="4"/>
          <w:sz w:val="28"/>
          <w:szCs w:val="28"/>
        </w:rPr>
        <w:t>曼满河等</w:t>
      </w:r>
      <w:r>
        <w:rPr>
          <w:rFonts w:hint="eastAsia" w:ascii="Times New Roman" w:hAnsi="Times New Roman" w:eastAsia="仿宋_GB2312"/>
          <w:color w:val="auto"/>
          <w:spacing w:val="4"/>
          <w:sz w:val="28"/>
          <w:szCs w:val="28"/>
        </w:rPr>
        <w:t>小流域</w:t>
      </w:r>
      <w:r>
        <w:rPr>
          <w:rFonts w:ascii="Times New Roman" w:hAnsi="Times New Roman" w:eastAsia="仿宋_GB2312"/>
          <w:color w:val="auto"/>
          <w:spacing w:val="4"/>
          <w:sz w:val="28"/>
          <w:szCs w:val="28"/>
        </w:rPr>
        <w:t>水土流失问题严重</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水土流失总面积约</w:t>
      </w:r>
      <w:commentRangeStart w:id="12"/>
      <w:r>
        <w:rPr>
          <w:rFonts w:hint="eastAsia" w:ascii="Times New Roman" w:hAnsi="Times New Roman" w:eastAsia="仿宋_GB2312"/>
          <w:color w:val="auto"/>
          <w:spacing w:val="4"/>
          <w:sz w:val="28"/>
          <w:szCs w:val="28"/>
        </w:rPr>
        <w:t>196.23</w:t>
      </w:r>
      <w:commentRangeEnd w:id="12"/>
      <w:r>
        <w:rPr>
          <w:rStyle w:val="39"/>
        </w:rPr>
        <w:commentReference w:id="12"/>
      </w:r>
      <w:r>
        <w:rPr>
          <w:rFonts w:hint="eastAsia" w:ascii="Times New Roman" w:hAnsi="Times New Roman" w:eastAsia="仿宋_GB2312"/>
          <w:color w:val="auto"/>
          <w:spacing w:val="4"/>
          <w:sz w:val="28"/>
          <w:szCs w:val="28"/>
        </w:rPr>
        <w:t>km</w:t>
      </w:r>
      <w:r>
        <w:rPr>
          <w:rFonts w:hint="eastAsia" w:ascii="Times New Roman" w:hAnsi="Times New Roman" w:eastAsia="仿宋_GB2312"/>
          <w:color w:val="auto"/>
          <w:spacing w:val="4"/>
          <w:sz w:val="28"/>
          <w:szCs w:val="28"/>
          <w:vertAlign w:val="superscript"/>
        </w:rPr>
        <w:t>2</w:t>
      </w:r>
      <w:r>
        <w:rPr>
          <w:rFonts w:hint="eastAsia" w:ascii="Times New Roman" w:hAnsi="Times New Roman" w:eastAsia="仿宋_GB2312"/>
          <w:color w:val="auto"/>
          <w:spacing w:val="4"/>
          <w:sz w:val="28"/>
          <w:szCs w:val="28"/>
        </w:rPr>
        <w:t>，占全县国土面积的3.7%</w:t>
      </w:r>
      <w:r>
        <w:rPr>
          <w:rFonts w:ascii="Times New Roman" w:hAnsi="Times New Roman" w:eastAsia="仿宋_GB2312"/>
          <w:color w:val="auto"/>
          <w:spacing w:val="4"/>
          <w:sz w:val="28"/>
          <w:szCs w:val="28"/>
        </w:rPr>
        <w:t>。河湖管理范围划定工作全县仅</w:t>
      </w:r>
      <w:r>
        <w:rPr>
          <w:rFonts w:hint="eastAsia" w:ascii="Times New Roman" w:hAnsi="Times New Roman" w:eastAsia="仿宋_GB2312"/>
          <w:color w:val="auto"/>
          <w:spacing w:val="4"/>
          <w:sz w:val="28"/>
          <w:szCs w:val="28"/>
        </w:rPr>
        <w:t>划定</w:t>
      </w:r>
      <w:r>
        <w:rPr>
          <w:rFonts w:ascii="Times New Roman" w:hAnsi="Times New Roman" w:eastAsia="仿宋_GB2312"/>
          <w:color w:val="auto"/>
          <w:spacing w:val="4"/>
          <w:sz w:val="28"/>
          <w:szCs w:val="28"/>
        </w:rPr>
        <w:t>完成</w:t>
      </w:r>
      <w:r>
        <w:rPr>
          <w:rFonts w:hint="eastAsia" w:ascii="Times New Roman" w:hAnsi="Times New Roman" w:eastAsia="仿宋_GB2312"/>
          <w:color w:val="auto"/>
          <w:spacing w:val="4"/>
          <w:sz w:val="28"/>
          <w:szCs w:val="28"/>
        </w:rPr>
        <w:t>1000km</w:t>
      </w:r>
      <w:r>
        <w:rPr>
          <w:rFonts w:hint="eastAsia" w:ascii="Times New Roman" w:hAnsi="Times New Roman" w:eastAsia="仿宋_GB2312"/>
          <w:color w:val="auto"/>
          <w:spacing w:val="4"/>
          <w:sz w:val="28"/>
          <w:szCs w:val="28"/>
          <w:vertAlign w:val="superscript"/>
        </w:rPr>
        <w:t>2</w:t>
      </w:r>
      <w:r>
        <w:rPr>
          <w:rFonts w:hint="eastAsia" w:ascii="Times New Roman" w:hAnsi="Times New Roman" w:eastAsia="仿宋_GB2312"/>
          <w:color w:val="auto"/>
          <w:spacing w:val="4"/>
          <w:sz w:val="28"/>
          <w:szCs w:val="28"/>
        </w:rPr>
        <w:t>以上的河流，</w:t>
      </w:r>
      <w:r>
        <w:rPr>
          <w:rFonts w:ascii="Times New Roman" w:hAnsi="Times New Roman" w:eastAsia="仿宋_GB2312"/>
          <w:color w:val="auto"/>
          <w:spacing w:val="4"/>
          <w:sz w:val="28"/>
          <w:szCs w:val="28"/>
        </w:rPr>
        <w:t>其余河流及水库的管理范围尚未划定完成，河湖水域岸线分区管控有待加强，河湖管理范围内乱占、乱采、乱堆、乱建等“四乱”问题尚未根治。部分河流存在枯期减脱水</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河湖生态流量保障率不够</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很多农村河道淤积堵塞，河流</w:t>
      </w:r>
      <w:r>
        <w:rPr>
          <w:rFonts w:hint="eastAsia" w:ascii="Times New Roman" w:hAnsi="Times New Roman" w:eastAsia="仿宋_GB2312"/>
          <w:color w:val="auto"/>
          <w:spacing w:val="4"/>
          <w:sz w:val="28"/>
          <w:szCs w:val="28"/>
        </w:rPr>
        <w:t>连通</w:t>
      </w:r>
      <w:r>
        <w:rPr>
          <w:rFonts w:ascii="Times New Roman" w:hAnsi="Times New Roman" w:eastAsia="仿宋_GB2312"/>
          <w:color w:val="auto"/>
          <w:spacing w:val="4"/>
          <w:sz w:val="28"/>
          <w:szCs w:val="28"/>
        </w:rPr>
        <w:t>性较差，</w:t>
      </w:r>
      <w:r>
        <w:rPr>
          <w:rFonts w:hint="eastAsia" w:ascii="Times New Roman" w:hAnsi="Times New Roman" w:eastAsia="仿宋_GB2312"/>
          <w:color w:val="auto"/>
          <w:spacing w:val="4"/>
          <w:sz w:val="28"/>
          <w:szCs w:val="28"/>
        </w:rPr>
        <w:t>回贡河、曼丹河、南短河、帕宫河等河流内存在</w:t>
      </w:r>
      <w:r>
        <w:rPr>
          <w:rFonts w:ascii="Times New Roman" w:hAnsi="Times New Roman" w:eastAsia="仿宋_GB2312"/>
          <w:color w:val="auto"/>
          <w:spacing w:val="4"/>
          <w:sz w:val="28"/>
          <w:szCs w:val="28"/>
        </w:rPr>
        <w:t>生活污水、规模化养殖和中小企业排放的废水直接排入河湖，严重影响农村河</w:t>
      </w:r>
      <w:r>
        <w:rPr>
          <w:rFonts w:hint="eastAsia" w:ascii="Times New Roman" w:hAnsi="Times New Roman" w:eastAsia="仿宋_GB2312"/>
          <w:color w:val="auto"/>
          <w:spacing w:val="4"/>
          <w:sz w:val="28"/>
          <w:szCs w:val="28"/>
        </w:rPr>
        <w:t>流</w:t>
      </w:r>
      <w:r>
        <w:rPr>
          <w:rFonts w:ascii="Times New Roman" w:hAnsi="Times New Roman" w:eastAsia="仿宋_GB2312"/>
          <w:color w:val="auto"/>
          <w:spacing w:val="4"/>
          <w:sz w:val="28"/>
          <w:szCs w:val="28"/>
        </w:rPr>
        <w:t>水生态环境</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新老水</w:t>
      </w:r>
      <w:r>
        <w:rPr>
          <w:rFonts w:hint="eastAsia" w:ascii="Times New Roman" w:hAnsi="Times New Roman" w:eastAsia="仿宋_GB2312"/>
          <w:color w:val="auto"/>
          <w:spacing w:val="4"/>
          <w:sz w:val="28"/>
          <w:szCs w:val="28"/>
        </w:rPr>
        <w:t>问题</w:t>
      </w:r>
      <w:r>
        <w:rPr>
          <w:rFonts w:ascii="Times New Roman" w:hAnsi="Times New Roman" w:eastAsia="仿宋_GB2312"/>
          <w:color w:val="auto"/>
          <w:spacing w:val="4"/>
          <w:sz w:val="28"/>
          <w:szCs w:val="28"/>
        </w:rPr>
        <w:t>叠加增加了治理难度，迫切需要</w:t>
      </w:r>
      <w:r>
        <w:rPr>
          <w:rFonts w:hint="eastAsia" w:ascii="Times New Roman" w:hAnsi="Times New Roman" w:eastAsia="仿宋_GB2312"/>
          <w:color w:val="auto"/>
          <w:spacing w:val="4"/>
          <w:sz w:val="28"/>
          <w:szCs w:val="28"/>
        </w:rPr>
        <w:t>提升</w:t>
      </w:r>
      <w:r>
        <w:rPr>
          <w:rFonts w:ascii="Times New Roman" w:hAnsi="Times New Roman" w:eastAsia="仿宋_GB2312"/>
          <w:color w:val="auto"/>
          <w:spacing w:val="4"/>
          <w:sz w:val="28"/>
          <w:szCs w:val="28"/>
        </w:rPr>
        <w:t>人与自然和谐共生的良好生态环境，满足人民群众对健康水生态、宜居水环境的要求。</w:t>
      </w:r>
    </w:p>
    <w:p>
      <w:pPr>
        <w:pStyle w:val="5"/>
      </w:pPr>
      <w:r>
        <w:t>管理不规范</w:t>
      </w:r>
      <w:r>
        <w:rPr>
          <w:rFonts w:hint="eastAsia"/>
        </w:rPr>
        <w:t>、监管不到位、涉水事务依然是最突出薄弱环节</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江河湖泊、水资源、水利工程、水土保持等重点领域缺乏完善的管理标准规范，管理标准化、规范化程度低，存在不少管理不到位和缺位</w:t>
      </w:r>
      <w:r>
        <w:rPr>
          <w:rFonts w:hint="eastAsia" w:ascii="Times New Roman" w:hAnsi="Times New Roman" w:eastAsia="仿宋_GB2312"/>
          <w:color w:val="auto"/>
          <w:spacing w:val="4"/>
          <w:sz w:val="28"/>
          <w:szCs w:val="28"/>
        </w:rPr>
        <w:t>等</w:t>
      </w:r>
      <w:r>
        <w:rPr>
          <w:rFonts w:ascii="Times New Roman" w:hAnsi="Times New Roman" w:eastAsia="仿宋_GB2312"/>
          <w:color w:val="auto"/>
          <w:spacing w:val="4"/>
          <w:sz w:val="28"/>
          <w:szCs w:val="28"/>
        </w:rPr>
        <w:t>突出问题。同时，监管权责和程序不明确，监督力度整体薄弱，监测体系不健全，特别是用水计量、工程安全等方面监测能力薄弱，灌区用水计量设施不能满足水资源管理需要，中小河流</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水库水文监测设施匮乏。监管手段落后，水平不高，基础数据不全，动态性、实时性信息欠缺，现代化执法监管设备等不足，部分地区仍主要依靠“人海战术”开展监督检查。监管体制机制不健全，水利监管层级间、区域间业务协同不够。社会化监管体系不健全，监督举报机制、监督渠道缺乏。适应治水主要矛盾变化，需要加快调整人的行为和纠正人的错误行为，全面提升勐海县涉水事务监管能力和水平。</w:t>
      </w:r>
    </w:p>
    <w:p>
      <w:pPr>
        <w:pStyle w:val="5"/>
      </w:pPr>
      <w:r>
        <w:t>水治理体系有</w:t>
      </w:r>
      <w:r>
        <w:rPr>
          <w:rFonts w:hint="eastAsia"/>
        </w:rPr>
        <w:t>不</w:t>
      </w:r>
      <w:r>
        <w:t>完善</w:t>
      </w:r>
      <w:r>
        <w:rPr>
          <w:rFonts w:hint="eastAsia"/>
        </w:rPr>
        <w:t>，</w:t>
      </w:r>
      <w:r>
        <w:t>水利发展动力不足依然是重要制约因素</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全县水价改革进程总体缓慢，水利工程供水价格形成机制不完善，水价杠杆作用不明显，水资源税改革有待推开。流域水量分配难度大，初始水权尚不明晰，水权交易不活跃，水市场发育不足。节水激励体制不完善，尚未形成完善的财税引导和激励政策。水利工程建设不确定因素多、建设周期长、盈利能力弱，产权制度改革滞后，吸引社会资本参与的能力低。水利信息化、智慧化水平不高，人才队伍结构亟待优化，水利重大战略和科技问题研究薄弱。随着水问题更趋复杂，水治理任务更趋艰巨，迫切需要以改革创新破解发展难题，切实增强水利发展活力</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 xml:space="preserve">加快推进水治理体系和治理能力现代化。 </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“十四五“时期</w:t>
      </w:r>
      <w:r>
        <w:rPr>
          <w:rFonts w:hint="eastAsia" w:ascii="Times New Roman" w:hAnsi="Times New Roman" w:eastAsia="仿宋_GB2312"/>
          <w:color w:val="auto"/>
          <w:spacing w:val="4"/>
          <w:sz w:val="28"/>
          <w:szCs w:val="28"/>
        </w:rPr>
        <w:t>勐海县</w:t>
      </w:r>
      <w:r>
        <w:rPr>
          <w:rFonts w:ascii="Times New Roman" w:hAnsi="Times New Roman" w:eastAsia="仿宋_GB2312"/>
          <w:color w:val="auto"/>
          <w:spacing w:val="4"/>
          <w:sz w:val="28"/>
          <w:szCs w:val="28"/>
        </w:rPr>
        <w:t>水安全保障工作处于挖潜力、补短板、强监管、激活力、提质量的发展阶段，因此需立足人民群众对水安全保障的新期待新要求，充分利用新机遇新条件，妥善应对各种水安全风险和挑战，大力增强水忧患意识、水危机意识，从实现社会主义现代化、建设美丽中国的战略高度，加快水利基础设施建设，强化涉水事务监管，着力构建适应勐海县新时代发展要求和人民群众期待的水安全保障体系。</w:t>
      </w:r>
    </w:p>
    <w:p>
      <w:pPr>
        <w:spacing w:line="560" w:lineRule="exact"/>
        <w:ind w:firstLine="576" w:firstLineChars="200"/>
        <w:rPr>
          <w:rFonts w:ascii="Times New Roman" w:hAnsi="Times New Roman" w:eastAsia="仿宋_GB2312"/>
          <w:color w:val="auto"/>
          <w:spacing w:val="4"/>
          <w:sz w:val="28"/>
          <w:szCs w:val="28"/>
        </w:rPr>
      </w:pPr>
    </w:p>
    <w:p>
      <w:pPr>
        <w:pStyle w:val="3"/>
        <w:ind w:firstLine="576"/>
      </w:pPr>
    </w:p>
    <w:p>
      <w:pPr>
        <w:pStyle w:val="2"/>
      </w:pPr>
      <w:bookmarkStart w:id="19" w:name="_Toc43754875"/>
      <w:bookmarkStart w:id="20" w:name="_Toc62461304"/>
      <w:r>
        <w:t>总体要求</w:t>
      </w:r>
      <w:bookmarkEnd w:id="19"/>
      <w:bookmarkEnd w:id="20"/>
    </w:p>
    <w:p>
      <w:pPr>
        <w:pStyle w:val="4"/>
      </w:pPr>
      <w:bookmarkStart w:id="21" w:name="_Toc43754876"/>
      <w:bookmarkStart w:id="22" w:name="_Toc62461305"/>
      <w:commentRangeStart w:id="13"/>
      <w:r>
        <w:t>指导思想</w:t>
      </w:r>
      <w:commentRangeEnd w:id="13"/>
      <w:r>
        <w:commentReference w:id="13"/>
      </w:r>
      <w:bookmarkEnd w:id="21"/>
      <w:bookmarkEnd w:id="22"/>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以习近平新时代中国特色社会主义思想为指导，全面贯彻党的十九大和十九届二中、三中、四中、五中全会精神，深入贯彻习近平总书记治水重要论述精神和考察云南重要讲话精神，牢固树立新发展理念，统筹推进“五位一体”总体布局和协调推进“四个全面”战略布局，深入落实“节水优先、空间均衡、系统治理、两手发力”的治水方针和水资源、水生态、水环境、水灾害统筹治理的治水新思路，践行水利改革发展总基调。紧紧围绕建设我国民族团结进步示范区、生态文明建设排头兵、面向南亚东南亚辐射中心“三个定位”，认真落实省委省政府关于“两型三化”和绿色发展“三张牌”的决策部署，县委县政府关于聚焦提升中国普洱茶第一县、西双版纳春城“两张名片”，着力建设民族团结进步示范县、生态文明示范县、对外开放现代农业示范区和世界康养旅游名城的决定，立足勐海县情水情，构建勐海特色的现代化水安全保障体系，不断推进勐海水治理体系和治理能力现代化，为推动勐海县实现高质量跨越式发展提供水安全保障和支撑。</w:t>
      </w:r>
    </w:p>
    <w:p>
      <w:pPr>
        <w:pStyle w:val="4"/>
      </w:pPr>
      <w:bookmarkStart w:id="23" w:name="_Toc43754877"/>
      <w:bookmarkStart w:id="24" w:name="_Toc62461306"/>
      <w:commentRangeStart w:id="14"/>
      <w:r>
        <w:t>基本原则</w:t>
      </w:r>
      <w:commentRangeEnd w:id="14"/>
      <w:r>
        <w:commentReference w:id="14"/>
      </w:r>
      <w:bookmarkEnd w:id="23"/>
      <w:bookmarkEnd w:id="24"/>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楷体_GB2312"/>
          <w:color w:val="auto"/>
          <w:spacing w:val="4"/>
          <w:sz w:val="28"/>
          <w:szCs w:val="28"/>
        </w:rPr>
        <w:t>节水优先，高效利用。</w:t>
      </w:r>
      <w:r>
        <w:rPr>
          <w:rFonts w:ascii="Times New Roman" w:hAnsi="Times New Roman" w:eastAsia="仿宋_GB2312"/>
          <w:color w:val="auto"/>
          <w:spacing w:val="4"/>
          <w:sz w:val="28"/>
          <w:szCs w:val="28"/>
        </w:rPr>
        <w:t>把节水作为解决勐海县水资源问题的重要举措，贯穿于经济社会发展全过程和各领域，推动用水方式由粗放向节约集约转变，形成节水型生产生活方式，不断提高用水效率和效益。</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楷体_GB2312"/>
          <w:color w:val="auto"/>
          <w:spacing w:val="4"/>
          <w:sz w:val="28"/>
          <w:szCs w:val="28"/>
        </w:rPr>
        <w:t>空间均衡，协同发展。</w:t>
      </w:r>
      <w:r>
        <w:rPr>
          <w:rFonts w:ascii="Times New Roman" w:hAnsi="Times New Roman" w:eastAsia="仿宋_GB2312"/>
          <w:color w:val="auto"/>
          <w:spacing w:val="4"/>
          <w:sz w:val="28"/>
          <w:szCs w:val="28"/>
        </w:rPr>
        <w:t>坚持创新、协调、绿色、开放、共享的发展理念，尊重自然、顺应自然、保护自然，转变治水思路和方式，以水定需、量水而行、因水制宜，促进人口经济与水资源水生态水环境承载能力相均衡，约束和规范各类水事行为，统筹经济社会发展和生态文明建设要求，提升水安全保障能力，推动勐海县实现高质量跨越式发展。</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楷体_GB2312"/>
          <w:color w:val="auto"/>
          <w:spacing w:val="4"/>
          <w:sz w:val="28"/>
          <w:szCs w:val="28"/>
        </w:rPr>
        <w:t>系统治理，综合施策。</w:t>
      </w:r>
      <w:r>
        <w:rPr>
          <w:rFonts w:ascii="Times New Roman" w:hAnsi="Times New Roman" w:eastAsia="仿宋_GB2312"/>
          <w:color w:val="auto"/>
          <w:spacing w:val="4"/>
          <w:sz w:val="28"/>
          <w:szCs w:val="28"/>
        </w:rPr>
        <w:t>坚持生态优先，树立山水林田湖草是一个生命共同体的系统思想，以流域为单元，统筹上下游、左右岸、地上地下、城市乡村，加强综合治理和生态保护修复，彰显河湖人文历史，提升河岸景观品味，统筹解决水资源水生态水环境水灾害问题，建设水清河畅、岸绿景美、江河安澜的美好家园。</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楷体_GB2312"/>
          <w:color w:val="auto"/>
          <w:spacing w:val="4"/>
          <w:sz w:val="28"/>
          <w:szCs w:val="28"/>
        </w:rPr>
        <w:t>两手发力，改革创新。</w:t>
      </w:r>
      <w:r>
        <w:rPr>
          <w:rFonts w:ascii="Times New Roman" w:hAnsi="Times New Roman" w:eastAsia="仿宋_GB2312"/>
          <w:color w:val="auto"/>
          <w:spacing w:val="4"/>
          <w:sz w:val="28"/>
          <w:szCs w:val="28"/>
        </w:rPr>
        <w:t>充分发挥市场在资源配置中的重要作用，更好发挥府作用，依法治水管水护水，加强科技创新和人才培养，大力推进体制机制创新，强化行业监督管理，提升行业服务能力和水平，加快构建系统完备的水治理体系。</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楷体_GB2312"/>
          <w:color w:val="auto"/>
          <w:spacing w:val="4"/>
          <w:sz w:val="28"/>
          <w:szCs w:val="28"/>
        </w:rPr>
        <w:t>以人为本，保障民生。</w:t>
      </w:r>
      <w:r>
        <w:rPr>
          <w:rFonts w:ascii="Times New Roman" w:hAnsi="Times New Roman" w:eastAsia="仿宋_GB2312"/>
          <w:color w:val="auto"/>
          <w:spacing w:val="4"/>
          <w:sz w:val="28"/>
          <w:szCs w:val="28"/>
        </w:rPr>
        <w:t>牢固树立以人民为中心的发展思想，把人民对美好生活的向往作为出发点和落脚点，加快解决民众最关心最直接最现实的饮水、防洪、生态环境等问题，提升水安全公共服务均等化水平，不断增强人民群众的获得感、幸福感、安全感。</w:t>
      </w:r>
    </w:p>
    <w:p>
      <w:pPr>
        <w:pStyle w:val="4"/>
      </w:pPr>
      <w:bookmarkStart w:id="25" w:name="_Toc43754878"/>
      <w:bookmarkStart w:id="26" w:name="_Toc62461307"/>
      <w:commentRangeStart w:id="15"/>
      <w:r>
        <w:t>规划水平年</w:t>
      </w:r>
      <w:commentRangeEnd w:id="15"/>
      <w:r>
        <w:commentReference w:id="15"/>
      </w:r>
      <w:bookmarkEnd w:id="25"/>
      <w:bookmarkEnd w:id="26"/>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现状水平年：20</w:t>
      </w:r>
      <w:r>
        <w:rPr>
          <w:rFonts w:hint="eastAsia" w:ascii="Times New Roman" w:hAnsi="Times New Roman" w:eastAsia="仿宋_GB2312"/>
          <w:color w:val="auto"/>
          <w:spacing w:val="4"/>
          <w:sz w:val="28"/>
          <w:szCs w:val="28"/>
        </w:rPr>
        <w:t>18</w:t>
      </w:r>
      <w:r>
        <w:rPr>
          <w:rFonts w:ascii="Times New Roman" w:hAnsi="Times New Roman" w:eastAsia="仿宋_GB2312"/>
          <w:color w:val="auto"/>
          <w:spacing w:val="4"/>
          <w:sz w:val="28"/>
          <w:szCs w:val="28"/>
        </w:rPr>
        <w:t>年（以201</w:t>
      </w:r>
      <w:r>
        <w:rPr>
          <w:rFonts w:hint="eastAsia" w:ascii="Times New Roman" w:hAnsi="Times New Roman" w:eastAsia="仿宋_GB2312"/>
          <w:color w:val="auto"/>
          <w:spacing w:val="4"/>
          <w:sz w:val="28"/>
          <w:szCs w:val="28"/>
        </w:rPr>
        <w:t>8</w:t>
      </w:r>
      <w:r>
        <w:rPr>
          <w:rFonts w:ascii="Times New Roman" w:hAnsi="Times New Roman" w:eastAsia="仿宋_GB2312"/>
          <w:color w:val="auto"/>
          <w:spacing w:val="4"/>
          <w:sz w:val="28"/>
          <w:szCs w:val="28"/>
        </w:rPr>
        <w:t>年或最近资料为基础，2020年数据以预测为主）。</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规划水平年：2025年。</w:t>
      </w:r>
    </w:p>
    <w:p>
      <w:pPr>
        <w:pStyle w:val="4"/>
      </w:pPr>
      <w:bookmarkStart w:id="27" w:name="_Toc43754879"/>
      <w:bookmarkStart w:id="28" w:name="_Toc62461308"/>
      <w:r>
        <w:t>规划</w:t>
      </w:r>
      <w:commentRangeStart w:id="16"/>
      <w:r>
        <w:t>目标</w:t>
      </w:r>
      <w:commentRangeEnd w:id="16"/>
      <w:r>
        <w:commentReference w:id="16"/>
      </w:r>
      <w:bookmarkEnd w:id="27"/>
      <w:bookmarkEnd w:id="28"/>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到2025年，通过转变治水思路、补齐发展短板、强化监督管理、提升能力水平，逐步扭转勐海县水利基础设施建设滞后的局面，基本构建与地方经济发展相适应的江河安澜的防洪体系，基本构建空间均衡的水资源配置体系，基本建成人水和谐的水生态体系，基本建成与乡村振兴战略同步的城乡一体的供水灌溉体系，基本建立能够保障国家、省级重大战略和州级决策部署的保障体系，初步构建调控精准的智慧水利体系，基本构建勐海县水安全保障体系。</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到2025年，防洪抗灾能力全面提升，水资源利用效率和效益明显提高，城乡供水安全保障程度明显增强，重点河湖水生态环境明显改善，水利工程补短板和提档升级加快补齐，涉水事务监管能力全面增强，勐海县水安全保障能力显著提升，具体目标为：</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水旱灾害防御目标。勐往河、</w:t>
      </w:r>
      <w:r>
        <w:rPr>
          <w:rFonts w:hint="eastAsia" w:ascii="Times New Roman" w:hAnsi="Times New Roman" w:eastAsia="仿宋_GB2312"/>
          <w:color w:val="auto"/>
          <w:spacing w:val="4"/>
          <w:sz w:val="28"/>
          <w:szCs w:val="28"/>
        </w:rPr>
        <w:t>南满河、南啊河、南果河、南披河、南佬河、南木介河、南洞河及流沙河部分河段等</w:t>
      </w:r>
      <w:r>
        <w:rPr>
          <w:rFonts w:ascii="Times New Roman" w:hAnsi="Times New Roman" w:eastAsia="仿宋_GB2312"/>
          <w:color w:val="auto"/>
          <w:spacing w:val="4"/>
          <w:sz w:val="28"/>
          <w:szCs w:val="28"/>
        </w:rPr>
        <w:t>重要河段达到</w:t>
      </w:r>
      <w:r>
        <w:rPr>
          <w:rFonts w:hint="eastAsia" w:ascii="Times New Roman" w:hAnsi="Times New Roman" w:eastAsia="仿宋_GB2312"/>
          <w:color w:val="auto"/>
          <w:spacing w:val="4"/>
          <w:sz w:val="28"/>
          <w:szCs w:val="28"/>
        </w:rPr>
        <w:t>10年一遇</w:t>
      </w:r>
      <w:r>
        <w:rPr>
          <w:rFonts w:ascii="Times New Roman" w:hAnsi="Times New Roman" w:eastAsia="仿宋_GB2312"/>
          <w:color w:val="auto"/>
          <w:spacing w:val="4"/>
          <w:sz w:val="28"/>
          <w:szCs w:val="28"/>
        </w:rPr>
        <w:t>防洪标准，规划年全县堤防达标率</w:t>
      </w:r>
      <w:r>
        <w:rPr>
          <w:rFonts w:hint="eastAsia" w:ascii="Times New Roman" w:hAnsi="Times New Roman" w:eastAsia="仿宋_GB2312"/>
          <w:color w:val="auto"/>
          <w:spacing w:val="4"/>
          <w:sz w:val="28"/>
          <w:szCs w:val="28"/>
        </w:rPr>
        <w:t>达</w:t>
      </w:r>
      <w:commentRangeStart w:id="17"/>
      <w:r>
        <w:rPr>
          <w:rFonts w:hint="eastAsia" w:ascii="Times New Roman" w:hAnsi="Times New Roman" w:eastAsia="仿宋_GB2312"/>
          <w:color w:val="auto"/>
          <w:spacing w:val="4"/>
          <w:sz w:val="28"/>
          <w:szCs w:val="28"/>
        </w:rPr>
        <w:t>100</w:t>
      </w:r>
      <w:commentRangeEnd w:id="17"/>
      <w:r>
        <w:rPr>
          <w:rStyle w:val="39"/>
        </w:rPr>
        <w:commentReference w:id="17"/>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勐海城区</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乡镇等重要区域防洪排涝能力明显提升</w:t>
      </w:r>
      <w:r>
        <w:rPr>
          <w:rFonts w:hint="eastAsia" w:ascii="Times New Roman" w:hAnsi="Times New Roman" w:eastAsia="仿宋_GB2312"/>
          <w:color w:val="auto"/>
          <w:spacing w:val="4"/>
          <w:sz w:val="28"/>
          <w:szCs w:val="28"/>
        </w:rPr>
        <w:t>，病险水库（闸</w:t>
      </w:r>
      <w:commentRangeStart w:id="18"/>
      <w:r>
        <w:rPr>
          <w:rFonts w:hint="eastAsia" w:ascii="Times New Roman" w:hAnsi="Times New Roman" w:eastAsia="仿宋_GB2312"/>
          <w:color w:val="auto"/>
          <w:spacing w:val="4"/>
          <w:sz w:val="28"/>
          <w:szCs w:val="28"/>
        </w:rPr>
        <w:t>）病险</w:t>
      </w:r>
      <w:commentRangeEnd w:id="18"/>
      <w:r>
        <w:rPr>
          <w:rStyle w:val="39"/>
        </w:rPr>
        <w:commentReference w:id="18"/>
      </w:r>
      <w:r>
        <w:rPr>
          <w:rFonts w:hint="eastAsia" w:ascii="Times New Roman" w:hAnsi="Times New Roman" w:eastAsia="仿宋_GB2312"/>
          <w:color w:val="auto"/>
          <w:spacing w:val="4"/>
          <w:sz w:val="28"/>
          <w:szCs w:val="28"/>
        </w:rPr>
        <w:t>率降低至10%以下，山洪沟治理段基本达到10年一遇防洪标准，</w:t>
      </w:r>
      <w:r>
        <w:rPr>
          <w:rFonts w:ascii="Times New Roman" w:hAnsi="Times New Roman" w:eastAsia="仿宋_GB2312"/>
          <w:color w:val="auto"/>
          <w:spacing w:val="4"/>
          <w:sz w:val="28"/>
          <w:szCs w:val="28"/>
        </w:rPr>
        <w:t>水旱灾害风险防范化解能力进一步增强。</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水资源节约集约利用与优化配置目标。水资源刚性约束作用明显增强，节水型生产和生活方式基本建立，全社会节水护水惜水意识明显增强，水资源与人口经济均衡协调发展的格局进一步完善。全县用水总量控制在</w:t>
      </w:r>
      <w:commentRangeStart w:id="19"/>
      <w:r>
        <w:rPr>
          <w:rFonts w:hint="eastAsia" w:ascii="Times New Roman" w:hAnsi="Times New Roman" w:eastAsia="仿宋_GB2312"/>
          <w:color w:val="auto"/>
          <w:spacing w:val="4"/>
          <w:sz w:val="28"/>
          <w:szCs w:val="28"/>
        </w:rPr>
        <w:t>2.73</w:t>
      </w:r>
      <w:commentRangeEnd w:id="19"/>
      <w:r>
        <w:rPr>
          <w:rStyle w:val="39"/>
        </w:rPr>
        <w:commentReference w:id="19"/>
      </w:r>
      <w:r>
        <w:rPr>
          <w:rFonts w:ascii="Times New Roman" w:hAnsi="Times New Roman" w:eastAsia="仿宋_GB2312"/>
          <w:color w:val="auto"/>
          <w:spacing w:val="4"/>
          <w:sz w:val="28"/>
          <w:szCs w:val="28"/>
        </w:rPr>
        <w:t>亿m</w:t>
      </w:r>
      <w:r>
        <w:rPr>
          <w:rFonts w:ascii="Times New Roman" w:hAnsi="Times New Roman" w:eastAsia="仿宋_GB2312"/>
          <w:color w:val="auto"/>
          <w:spacing w:val="4"/>
          <w:sz w:val="28"/>
          <w:szCs w:val="28"/>
          <w:vertAlign w:val="superscript"/>
        </w:rPr>
        <w:t>3</w:t>
      </w:r>
      <w:r>
        <w:rPr>
          <w:rFonts w:ascii="Times New Roman" w:hAnsi="Times New Roman" w:eastAsia="仿宋_GB2312"/>
          <w:color w:val="auto"/>
          <w:spacing w:val="4"/>
          <w:sz w:val="28"/>
          <w:szCs w:val="28"/>
        </w:rPr>
        <w:t>以内，万元国内生产总值用水量和万元工业增加值用水量较</w:t>
      </w:r>
      <w:commentRangeStart w:id="20"/>
      <w:r>
        <w:rPr>
          <w:rFonts w:ascii="Times New Roman" w:hAnsi="Times New Roman" w:eastAsia="仿宋_GB2312"/>
          <w:color w:val="auto"/>
          <w:spacing w:val="4"/>
          <w:sz w:val="28"/>
          <w:szCs w:val="28"/>
        </w:rPr>
        <w:t xml:space="preserve"> 2020年均下降 </w:t>
      </w:r>
      <w:r>
        <w:rPr>
          <w:rFonts w:hint="eastAsia" w:ascii="Times New Roman" w:hAnsi="Times New Roman" w:eastAsia="仿宋_GB2312"/>
          <w:color w:val="auto"/>
          <w:spacing w:val="4"/>
          <w:sz w:val="28"/>
          <w:szCs w:val="28"/>
        </w:rPr>
        <w:t>1</w:t>
      </w:r>
      <w:r>
        <w:rPr>
          <w:rFonts w:ascii="Times New Roman" w:hAnsi="Times New Roman" w:eastAsia="仿宋_GB2312"/>
          <w:color w:val="auto"/>
          <w:spacing w:val="4"/>
          <w:sz w:val="28"/>
          <w:szCs w:val="28"/>
        </w:rPr>
        <w:t>0%</w:t>
      </w:r>
      <w:commentRangeEnd w:id="20"/>
      <w:r>
        <w:commentReference w:id="20"/>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农田灌溉水有效利用系数提高</w:t>
      </w:r>
      <w:commentRangeStart w:id="21"/>
      <w:r>
        <w:rPr>
          <w:rFonts w:ascii="Times New Roman" w:hAnsi="Times New Roman" w:eastAsia="仿宋_GB2312"/>
          <w:color w:val="auto"/>
          <w:spacing w:val="4"/>
          <w:sz w:val="28"/>
          <w:szCs w:val="28"/>
        </w:rPr>
        <w:t>到</w:t>
      </w:r>
      <w:commentRangeEnd w:id="21"/>
      <w:r>
        <w:rPr>
          <w:rStyle w:val="39"/>
        </w:rPr>
        <w:commentReference w:id="21"/>
      </w:r>
      <w:r>
        <w:rPr>
          <w:rFonts w:ascii="Times New Roman" w:hAnsi="Times New Roman" w:eastAsia="仿宋_GB2312"/>
          <w:color w:val="auto"/>
          <w:spacing w:val="4"/>
          <w:sz w:val="28"/>
          <w:szCs w:val="28"/>
        </w:rPr>
        <w:t>0.5</w:t>
      </w:r>
      <w:r>
        <w:rPr>
          <w:rFonts w:hint="eastAsia" w:ascii="Times New Roman" w:hAnsi="Times New Roman" w:eastAsia="仿宋_GB2312"/>
          <w:color w:val="auto"/>
          <w:spacing w:val="4"/>
          <w:sz w:val="28"/>
          <w:szCs w:val="28"/>
        </w:rPr>
        <w:t>2</w:t>
      </w:r>
      <w:r>
        <w:rPr>
          <w:rFonts w:ascii="Times New Roman" w:hAnsi="Times New Roman" w:eastAsia="仿宋_GB2312"/>
          <w:color w:val="auto"/>
          <w:spacing w:val="4"/>
          <w:sz w:val="28"/>
          <w:szCs w:val="28"/>
        </w:rPr>
        <w:t>。全县水资源配置格局进一步完善，城乡供水保障和抗旱应急能力明显增强，新增蓄水库容</w:t>
      </w:r>
      <w:commentRangeStart w:id="22"/>
      <w:r>
        <w:rPr>
          <w:rFonts w:ascii="Times New Roman" w:hAnsi="Times New Roman" w:eastAsia="仿宋_GB2312"/>
          <w:color w:val="auto"/>
          <w:spacing w:val="4"/>
          <w:sz w:val="28"/>
          <w:szCs w:val="28"/>
        </w:rPr>
        <w:t>0.</w:t>
      </w:r>
      <w:r>
        <w:rPr>
          <w:rFonts w:hint="eastAsia" w:ascii="Times New Roman" w:hAnsi="Times New Roman" w:eastAsia="仿宋_GB2312"/>
          <w:color w:val="auto"/>
          <w:spacing w:val="4"/>
          <w:sz w:val="28"/>
          <w:szCs w:val="28"/>
        </w:rPr>
        <w:t>21</w:t>
      </w:r>
      <w:commentRangeEnd w:id="22"/>
      <w:r>
        <w:rPr>
          <w:rStyle w:val="39"/>
        </w:rPr>
        <w:commentReference w:id="22"/>
      </w:r>
      <w:r>
        <w:rPr>
          <w:rFonts w:ascii="Times New Roman" w:hAnsi="Times New Roman" w:eastAsia="仿宋_GB2312"/>
          <w:color w:val="auto"/>
          <w:spacing w:val="4"/>
          <w:sz w:val="28"/>
          <w:szCs w:val="28"/>
        </w:rPr>
        <w:t>亿m</w:t>
      </w:r>
      <w:r>
        <w:rPr>
          <w:rFonts w:ascii="Times New Roman" w:hAnsi="Times New Roman" w:eastAsia="仿宋_GB2312"/>
          <w:color w:val="auto"/>
          <w:spacing w:val="4"/>
          <w:sz w:val="28"/>
          <w:szCs w:val="28"/>
          <w:vertAlign w:val="superscript"/>
        </w:rPr>
        <w:t>3</w:t>
      </w:r>
      <w:r>
        <w:rPr>
          <w:rFonts w:ascii="Times New Roman" w:hAnsi="Times New Roman" w:eastAsia="仿宋_GB2312"/>
          <w:color w:val="auto"/>
          <w:spacing w:val="4"/>
          <w:sz w:val="28"/>
          <w:szCs w:val="28"/>
        </w:rPr>
        <w:t>，水利工程新增年供水能力0.</w:t>
      </w:r>
      <w:r>
        <w:rPr>
          <w:rFonts w:hint="eastAsia" w:ascii="Times New Roman" w:hAnsi="Times New Roman" w:eastAsia="仿宋_GB2312"/>
          <w:color w:val="auto"/>
          <w:spacing w:val="4"/>
          <w:sz w:val="28"/>
          <w:szCs w:val="28"/>
        </w:rPr>
        <w:t>27</w:t>
      </w:r>
      <w:r>
        <w:rPr>
          <w:rFonts w:ascii="Times New Roman" w:hAnsi="Times New Roman" w:eastAsia="仿宋_GB2312"/>
          <w:color w:val="auto"/>
          <w:spacing w:val="4"/>
          <w:sz w:val="28"/>
          <w:szCs w:val="28"/>
        </w:rPr>
        <w:t>亿m</w:t>
      </w:r>
      <w:r>
        <w:rPr>
          <w:rFonts w:ascii="Times New Roman" w:hAnsi="Times New Roman" w:eastAsia="仿宋_GB2312"/>
          <w:color w:val="auto"/>
          <w:spacing w:val="4"/>
          <w:sz w:val="28"/>
          <w:szCs w:val="28"/>
          <w:vertAlign w:val="superscript"/>
        </w:rPr>
        <w:t>3</w:t>
      </w:r>
      <w:r>
        <w:rPr>
          <w:rFonts w:ascii="Times New Roman" w:hAnsi="Times New Roman" w:eastAsia="仿宋_GB2312"/>
          <w:color w:val="auto"/>
          <w:spacing w:val="4"/>
          <w:sz w:val="28"/>
          <w:szCs w:val="28"/>
        </w:rPr>
        <w:t>，规模化供水覆盖程度明显提高，</w:t>
      </w:r>
      <w:r>
        <w:rPr>
          <w:rFonts w:hint="eastAsia" w:ascii="Times New Roman" w:hAnsi="Times New Roman" w:eastAsia="仿宋_GB2312"/>
          <w:color w:val="auto"/>
          <w:spacing w:val="4"/>
          <w:sz w:val="28"/>
          <w:szCs w:val="28"/>
        </w:rPr>
        <w:t>供水</w:t>
      </w:r>
      <w:r>
        <w:rPr>
          <w:rFonts w:ascii="Times New Roman" w:hAnsi="Times New Roman" w:eastAsia="仿宋_GB2312"/>
          <w:color w:val="auto"/>
          <w:spacing w:val="4"/>
          <w:sz w:val="28"/>
          <w:szCs w:val="28"/>
        </w:rPr>
        <w:t>保障率提高至9</w:t>
      </w:r>
      <w:r>
        <w:rPr>
          <w:rFonts w:hint="eastAsia" w:ascii="Times New Roman" w:hAnsi="Times New Roman" w:eastAsia="仿宋_GB2312"/>
          <w:color w:val="auto"/>
          <w:spacing w:val="4"/>
          <w:sz w:val="28"/>
          <w:szCs w:val="28"/>
        </w:rPr>
        <w:t>0</w:t>
      </w:r>
      <w:r>
        <w:rPr>
          <w:rFonts w:ascii="Times New Roman" w:hAnsi="Times New Roman" w:eastAsia="仿宋_GB2312"/>
          <w:color w:val="auto"/>
          <w:spacing w:val="4"/>
          <w:sz w:val="28"/>
          <w:szCs w:val="28"/>
        </w:rPr>
        <w:t>%。</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水资源保护和河湖健康保障目标。涉水空间管控制度基本建立， 江河湖库水源涵养与保护能力明显提升，水环境状况明显改善，重要水功能区主要水质达标率85%以上，新增水土流失综合治理面积</w:t>
      </w:r>
      <w:r>
        <w:rPr>
          <w:rFonts w:hint="eastAsia" w:ascii="Times New Roman" w:hAnsi="Times New Roman" w:eastAsia="仿宋_GB2312"/>
          <w:color w:val="auto"/>
          <w:spacing w:val="4"/>
          <w:sz w:val="28"/>
          <w:szCs w:val="28"/>
        </w:rPr>
        <w:t>196.</w:t>
      </w:r>
      <w:commentRangeStart w:id="23"/>
      <w:r>
        <w:rPr>
          <w:rFonts w:hint="eastAsia" w:ascii="Times New Roman" w:hAnsi="Times New Roman" w:eastAsia="仿宋_GB2312"/>
          <w:color w:val="auto"/>
          <w:spacing w:val="4"/>
          <w:sz w:val="28"/>
          <w:szCs w:val="28"/>
        </w:rPr>
        <w:t>23</w:t>
      </w:r>
      <w:commentRangeEnd w:id="23"/>
      <w:r>
        <w:rPr>
          <w:rStyle w:val="39"/>
        </w:rPr>
        <w:commentReference w:id="23"/>
      </w:r>
      <w:r>
        <w:rPr>
          <w:rFonts w:ascii="Times New Roman" w:hAnsi="Times New Roman" w:eastAsia="仿宋_GB2312"/>
          <w:color w:val="auto"/>
          <w:spacing w:val="4"/>
          <w:sz w:val="28"/>
          <w:szCs w:val="28"/>
        </w:rPr>
        <w:t>km</w:t>
      </w:r>
      <w:r>
        <w:rPr>
          <w:rFonts w:ascii="Times New Roman" w:hAnsi="Times New Roman" w:eastAsia="仿宋_GB2312"/>
          <w:color w:val="auto"/>
          <w:spacing w:val="4"/>
          <w:sz w:val="28"/>
          <w:szCs w:val="28"/>
          <w:vertAlign w:val="superscript"/>
        </w:rPr>
        <w:t>2</w:t>
      </w:r>
      <w:r>
        <w:rPr>
          <w:rFonts w:ascii="Times New Roman" w:hAnsi="Times New Roman" w:eastAsia="仿宋_GB2312"/>
          <w:color w:val="auto"/>
          <w:spacing w:val="4"/>
          <w:sz w:val="28"/>
          <w:szCs w:val="28"/>
        </w:rPr>
        <w:t>。人为水土流失得到有效控制，重点地区水土流失得到有效治理，水土流失程度降低至</w:t>
      </w:r>
      <w:r>
        <w:rPr>
          <w:rFonts w:hint="eastAsia" w:ascii="Times New Roman" w:hAnsi="Times New Roman" w:eastAsia="仿宋_GB2312"/>
          <w:color w:val="auto"/>
          <w:spacing w:val="4"/>
          <w:sz w:val="28"/>
          <w:szCs w:val="28"/>
        </w:rPr>
        <w:t>2.</w:t>
      </w:r>
      <w:commentRangeStart w:id="24"/>
      <w:r>
        <w:rPr>
          <w:rFonts w:hint="eastAsia" w:ascii="Times New Roman" w:hAnsi="Times New Roman" w:eastAsia="仿宋_GB2312"/>
          <w:color w:val="auto"/>
          <w:spacing w:val="4"/>
          <w:sz w:val="28"/>
          <w:szCs w:val="28"/>
        </w:rPr>
        <w:t>5</w:t>
      </w:r>
      <w:commentRangeEnd w:id="24"/>
      <w:r>
        <w:rPr>
          <w:rFonts w:ascii="Times New Roman" w:hAnsi="Times New Roman" w:eastAsia="仿宋_GB2312"/>
          <w:color w:val="auto"/>
          <w:spacing w:val="4"/>
          <w:sz w:val="28"/>
          <w:szCs w:val="28"/>
        </w:rPr>
        <w:commentReference w:id="24"/>
      </w:r>
      <w:r>
        <w:rPr>
          <w:rFonts w:ascii="Times New Roman" w:hAnsi="Times New Roman" w:eastAsia="仿宋_GB2312"/>
          <w:color w:val="auto"/>
          <w:spacing w:val="4"/>
          <w:sz w:val="28"/>
          <w:szCs w:val="28"/>
        </w:rPr>
        <w:t>%以下。</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涉水事务监管目标。水文水资源、河湖生态、水土流失、水灾害等监测预警体系基本建立，水利信息化水平显著提升</w:t>
      </w:r>
      <w:r>
        <w:rPr>
          <w:rFonts w:hint="eastAsia" w:ascii="Times New Roman" w:hAnsi="Times New Roman" w:eastAsia="仿宋_GB2312"/>
          <w:color w:val="auto"/>
          <w:spacing w:val="4"/>
          <w:sz w:val="28"/>
          <w:szCs w:val="28"/>
        </w:rPr>
        <w:t>，水利信息化覆盖率达60%</w:t>
      </w:r>
      <w:r>
        <w:rPr>
          <w:rFonts w:ascii="Times New Roman" w:hAnsi="Times New Roman" w:eastAsia="仿宋_GB2312"/>
          <w:color w:val="auto"/>
          <w:spacing w:val="4"/>
          <w:sz w:val="28"/>
          <w:szCs w:val="28"/>
        </w:rPr>
        <w:t>。河长制湖长制深入推进，主要河湖水域岸线得到有效管控。最严格水资源管理考核体系逐步完善，水资源节约、开发、利用、保护、配置、调度等各环节得到全面监管。水权水价水市场改革取得重要进展。政府主导、金融支持、社会参与的水利投融资机制进一步完善。</w:t>
      </w:r>
    </w:p>
    <w:p>
      <w:pPr>
        <w:spacing w:line="560" w:lineRule="exact"/>
        <w:jc w:val="center"/>
        <w:rPr>
          <w:rFonts w:ascii="Times New Roman" w:hAnsi="Times New Roman" w:eastAsia="黑体"/>
          <w:sz w:val="24"/>
          <w:szCs w:val="24"/>
        </w:rPr>
      </w:pPr>
      <w:r>
        <w:rPr>
          <w:rFonts w:ascii="Times New Roman" w:hAnsi="Times New Roman" w:eastAsia="黑体"/>
          <w:sz w:val="24"/>
          <w:szCs w:val="24"/>
        </w:rPr>
        <w:t>表2.4-1   勐海县“十四五”水安全保障规划目标指标表</w:t>
      </w:r>
    </w:p>
    <w:tbl>
      <w:tblPr>
        <w:tblStyle w:val="32"/>
        <w:tblW w:w="8187" w:type="dxa"/>
        <w:tblInd w:w="0" w:type="dxa"/>
        <w:tblLayout w:type="fixed"/>
        <w:tblCellMar>
          <w:top w:w="0" w:type="dxa"/>
          <w:left w:w="108" w:type="dxa"/>
          <w:bottom w:w="0" w:type="dxa"/>
          <w:right w:w="108" w:type="dxa"/>
        </w:tblCellMar>
      </w:tblPr>
      <w:tblGrid>
        <w:gridCol w:w="677"/>
        <w:gridCol w:w="851"/>
        <w:gridCol w:w="2977"/>
        <w:gridCol w:w="991"/>
        <w:gridCol w:w="1276"/>
        <w:gridCol w:w="1415"/>
      </w:tblGrid>
      <w:tr>
        <w:tblPrEx>
          <w:tblLayout w:type="fixed"/>
          <w:tblCellMar>
            <w:top w:w="0" w:type="dxa"/>
            <w:left w:w="108" w:type="dxa"/>
            <w:bottom w:w="0" w:type="dxa"/>
            <w:right w:w="108" w:type="dxa"/>
          </w:tblCellMar>
        </w:tblPrEx>
        <w:trPr>
          <w:trHeight w:val="588" w:hRule="atLeast"/>
        </w:trPr>
        <w:tc>
          <w:tcPr>
            <w:tcW w:w="67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序号</w:t>
            </w:r>
          </w:p>
        </w:tc>
        <w:tc>
          <w:tcPr>
            <w:tcW w:w="851"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一级指标</w:t>
            </w:r>
          </w:p>
        </w:tc>
        <w:tc>
          <w:tcPr>
            <w:tcW w:w="2977"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二级指标</w:t>
            </w:r>
          </w:p>
        </w:tc>
        <w:tc>
          <w:tcPr>
            <w:tcW w:w="991"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现状值</w:t>
            </w:r>
          </w:p>
        </w:tc>
        <w:tc>
          <w:tcPr>
            <w:tcW w:w="127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w:t>
            </w:r>
            <w:r>
              <w:rPr>
                <w:rFonts w:hint="eastAsia" w:ascii="仿宋_GB2312" w:hAnsi="Times New Roman" w:eastAsia="仿宋_GB2312"/>
                <w:kern w:val="0"/>
              </w:rPr>
              <w:t>十四五</w:t>
            </w:r>
            <w:r>
              <w:rPr>
                <w:rFonts w:ascii="Times New Roman" w:hAnsi="Times New Roman"/>
                <w:kern w:val="0"/>
              </w:rPr>
              <w:t>”</w:t>
            </w:r>
            <w:r>
              <w:rPr>
                <w:rFonts w:hint="eastAsia" w:ascii="仿宋_GB2312" w:hAnsi="Times New Roman" w:eastAsia="仿宋_GB2312"/>
                <w:kern w:val="0"/>
              </w:rPr>
              <w:t>规划目标</w:t>
            </w:r>
          </w:p>
        </w:tc>
        <w:tc>
          <w:tcPr>
            <w:tcW w:w="1415"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备注</w:t>
            </w:r>
          </w:p>
        </w:tc>
      </w:tr>
      <w:tr>
        <w:tblPrEx>
          <w:tblLayout w:type="fixed"/>
          <w:tblCellMar>
            <w:top w:w="0" w:type="dxa"/>
            <w:left w:w="108" w:type="dxa"/>
            <w:bottom w:w="0" w:type="dxa"/>
            <w:right w:w="108" w:type="dxa"/>
          </w:tblCellMar>
        </w:tblPrEx>
        <w:trPr>
          <w:trHeight w:val="300" w:hRule="atLeast"/>
        </w:trPr>
        <w:tc>
          <w:tcPr>
            <w:tcW w:w="677" w:type="dxa"/>
            <w:vMerge w:val="restart"/>
            <w:tcBorders>
              <w:top w:val="single" w:color="auto" w:sz="8" w:space="0"/>
              <w:left w:val="single" w:color="auto" w:sz="8" w:space="0"/>
              <w:bottom w:val="nil"/>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1</w:t>
            </w:r>
          </w:p>
        </w:tc>
        <w:tc>
          <w:tcPr>
            <w:tcW w:w="851" w:type="dxa"/>
            <w:vMerge w:val="restart"/>
            <w:tcBorders>
              <w:top w:val="single" w:color="auto" w:sz="8" w:space="0"/>
              <w:left w:val="single" w:color="auto" w:sz="8" w:space="0"/>
              <w:bottom w:val="nil"/>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水旱灾害防御</w:t>
            </w:r>
          </w:p>
        </w:tc>
        <w:tc>
          <w:tcPr>
            <w:tcW w:w="297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hint="eastAsia" w:ascii="仿宋_GB2312" w:hAnsi="Times New Roman" w:eastAsia="仿宋_GB2312"/>
                <w:kern w:val="0"/>
              </w:rPr>
              <w:t>堤防达标率（</w:t>
            </w:r>
            <w:r>
              <w:rPr>
                <w:rFonts w:ascii="Times New Roman" w:hAnsi="Times New Roman"/>
                <w:kern w:val="0"/>
              </w:rPr>
              <w:t>%</w:t>
            </w:r>
            <w:r>
              <w:rPr>
                <w:rFonts w:hint="eastAsia" w:ascii="仿宋_GB2312" w:hAnsi="Times New Roman" w:eastAsia="仿宋_GB2312"/>
                <w:kern w:val="0"/>
              </w:rPr>
              <w:t>）</w:t>
            </w:r>
          </w:p>
        </w:tc>
        <w:tc>
          <w:tcPr>
            <w:tcW w:w="99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100%</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100%</w:t>
            </w:r>
          </w:p>
        </w:tc>
        <w:tc>
          <w:tcPr>
            <w:tcW w:w="1415"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预期性</w:t>
            </w:r>
          </w:p>
        </w:tc>
      </w:tr>
      <w:tr>
        <w:tblPrEx>
          <w:tblLayout w:type="fixed"/>
          <w:tblCellMar>
            <w:top w:w="0" w:type="dxa"/>
            <w:left w:w="108" w:type="dxa"/>
            <w:bottom w:w="0" w:type="dxa"/>
            <w:right w:w="108" w:type="dxa"/>
          </w:tblCellMar>
        </w:tblPrEx>
        <w:trPr>
          <w:trHeight w:val="300" w:hRule="atLeast"/>
        </w:trPr>
        <w:tc>
          <w:tcPr>
            <w:tcW w:w="677" w:type="dxa"/>
            <w:vMerge w:val="continue"/>
            <w:tcBorders>
              <w:top w:val="single" w:color="auto" w:sz="8" w:space="0"/>
              <w:left w:val="single" w:color="auto" w:sz="8" w:space="0"/>
              <w:bottom w:val="nil"/>
              <w:right w:val="single" w:color="auto" w:sz="8" w:space="0"/>
            </w:tcBorders>
            <w:vAlign w:val="center"/>
          </w:tcPr>
          <w:p>
            <w:pPr>
              <w:widowControl/>
              <w:jc w:val="left"/>
              <w:rPr>
                <w:rFonts w:ascii="Times New Roman" w:hAnsi="Times New Roman"/>
                <w:kern w:val="0"/>
              </w:rPr>
            </w:pPr>
          </w:p>
        </w:tc>
        <w:tc>
          <w:tcPr>
            <w:tcW w:w="851" w:type="dxa"/>
            <w:vMerge w:val="continue"/>
            <w:tcBorders>
              <w:top w:val="single" w:color="auto" w:sz="8" w:space="0"/>
              <w:left w:val="single" w:color="auto" w:sz="8" w:space="0"/>
              <w:bottom w:val="nil"/>
              <w:right w:val="single" w:color="auto" w:sz="8" w:space="0"/>
            </w:tcBorders>
            <w:vAlign w:val="center"/>
          </w:tcPr>
          <w:p>
            <w:pPr>
              <w:widowControl/>
              <w:jc w:val="left"/>
              <w:rPr>
                <w:rFonts w:ascii="仿宋_GB2312" w:eastAsia="仿宋_GB2312" w:cs="宋体"/>
                <w:kern w:val="0"/>
              </w:rPr>
            </w:pPr>
          </w:p>
        </w:tc>
        <w:tc>
          <w:tcPr>
            <w:tcW w:w="297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hint="eastAsia"/>
                <w:kern w:val="0"/>
              </w:rPr>
              <w:t>病险水库（闸）病险</w:t>
            </w:r>
            <w:r>
              <w:rPr>
                <w:rFonts w:ascii="Times New Roman" w:hAnsi="Times New Roman"/>
                <w:kern w:val="0"/>
              </w:rPr>
              <w:t> </w:t>
            </w:r>
            <w:r>
              <w:rPr>
                <w:rFonts w:hint="eastAsia"/>
                <w:kern w:val="0"/>
              </w:rPr>
              <w:t>率（</w:t>
            </w:r>
            <w:r>
              <w:rPr>
                <w:rFonts w:ascii="Times New Roman" w:hAnsi="Times New Roman"/>
                <w:kern w:val="0"/>
              </w:rPr>
              <w:t>%</w:t>
            </w:r>
            <w:r>
              <w:rPr>
                <w:rFonts w:hint="eastAsia"/>
                <w:kern w:val="0"/>
              </w:rPr>
              <w:t>）</w:t>
            </w:r>
          </w:p>
        </w:tc>
        <w:tc>
          <w:tcPr>
            <w:tcW w:w="99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24.2</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&lt;10</w:t>
            </w:r>
          </w:p>
        </w:tc>
        <w:tc>
          <w:tcPr>
            <w:tcW w:w="1415"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预期性</w:t>
            </w:r>
          </w:p>
        </w:tc>
      </w:tr>
      <w:tr>
        <w:tblPrEx>
          <w:tblLayout w:type="fixed"/>
          <w:tblCellMar>
            <w:top w:w="0" w:type="dxa"/>
            <w:left w:w="108" w:type="dxa"/>
            <w:bottom w:w="0" w:type="dxa"/>
            <w:right w:w="108" w:type="dxa"/>
          </w:tblCellMar>
        </w:tblPrEx>
        <w:trPr>
          <w:trHeight w:val="348" w:hRule="atLeast"/>
        </w:trPr>
        <w:tc>
          <w:tcPr>
            <w:tcW w:w="677" w:type="dxa"/>
            <w:vMerge w:val="restart"/>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2</w:t>
            </w:r>
          </w:p>
        </w:tc>
        <w:tc>
          <w:tcPr>
            <w:tcW w:w="851" w:type="dxa"/>
            <w:vMerge w:val="restart"/>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水资源节约集约利用与优化配置</w:t>
            </w:r>
          </w:p>
        </w:tc>
        <w:tc>
          <w:tcPr>
            <w:tcW w:w="2977"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用水总量控制（亿</w:t>
            </w:r>
            <w:r>
              <w:rPr>
                <w:rFonts w:ascii="Times New Roman" w:hAnsi="Times New Roman" w:eastAsia="仿宋_GB2312"/>
                <w:kern w:val="0"/>
              </w:rPr>
              <w:t>m</w:t>
            </w:r>
            <w:r>
              <w:rPr>
                <w:rFonts w:ascii="Times New Roman" w:hAnsi="Times New Roman" w:eastAsia="仿宋_GB2312"/>
                <w:kern w:val="0"/>
                <w:vertAlign w:val="superscript"/>
              </w:rPr>
              <w:t>3</w:t>
            </w:r>
            <w:r>
              <w:rPr>
                <w:rFonts w:hint="eastAsia" w:ascii="仿宋_GB2312" w:eastAsia="仿宋_GB2312" w:cs="宋体"/>
                <w:kern w:val="0"/>
              </w:rPr>
              <w:t>）</w:t>
            </w:r>
          </w:p>
        </w:tc>
        <w:tc>
          <w:tcPr>
            <w:tcW w:w="99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2.67</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&lt;2.73</w:t>
            </w:r>
          </w:p>
        </w:tc>
        <w:tc>
          <w:tcPr>
            <w:tcW w:w="1415"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约束性</w:t>
            </w:r>
          </w:p>
        </w:tc>
      </w:tr>
      <w:tr>
        <w:tblPrEx>
          <w:tblLayout w:type="fixed"/>
          <w:tblCellMar>
            <w:top w:w="0" w:type="dxa"/>
            <w:left w:w="108" w:type="dxa"/>
            <w:bottom w:w="0" w:type="dxa"/>
            <w:right w:w="108" w:type="dxa"/>
          </w:tblCellMar>
        </w:tblPrEx>
        <w:trPr>
          <w:trHeight w:val="300" w:hRule="atLeast"/>
        </w:trPr>
        <w:tc>
          <w:tcPr>
            <w:tcW w:w="677"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Times New Roman" w:hAnsi="Times New Roman"/>
                <w:kern w:val="0"/>
              </w:rPr>
            </w:pPr>
          </w:p>
        </w:tc>
        <w:tc>
          <w:tcPr>
            <w:tcW w:w="851"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仿宋_GB2312" w:eastAsia="仿宋_GB2312" w:cs="宋体"/>
                <w:kern w:val="0"/>
              </w:rPr>
            </w:pPr>
          </w:p>
        </w:tc>
        <w:tc>
          <w:tcPr>
            <w:tcW w:w="2977"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万元</w:t>
            </w:r>
            <w:r>
              <w:rPr>
                <w:rFonts w:ascii="Times New Roman" w:hAnsi="Times New Roman" w:eastAsia="仿宋_GB2312"/>
                <w:kern w:val="0"/>
              </w:rPr>
              <w:t>GDP</w:t>
            </w:r>
            <w:r>
              <w:rPr>
                <w:rFonts w:hint="eastAsia" w:ascii="仿宋_GB2312" w:eastAsia="仿宋_GB2312" w:cs="宋体"/>
                <w:kern w:val="0"/>
              </w:rPr>
              <w:t>用水量下降（</w:t>
            </w:r>
            <w:r>
              <w:rPr>
                <w:rFonts w:ascii="Times New Roman" w:hAnsi="Times New Roman" w:eastAsia="仿宋_GB2312"/>
                <w:kern w:val="0"/>
              </w:rPr>
              <w:t>%</w:t>
            </w:r>
            <w:r>
              <w:rPr>
                <w:rFonts w:hint="eastAsia" w:ascii="仿宋_GB2312" w:eastAsia="仿宋_GB2312" w:cs="宋体"/>
                <w:kern w:val="0"/>
              </w:rPr>
              <w:t>）</w:t>
            </w:r>
          </w:p>
        </w:tc>
        <w:tc>
          <w:tcPr>
            <w:tcW w:w="99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hint="eastAsia" w:ascii="Times New Roman" w:hAnsi="Times New Roman"/>
                <w:kern w:val="0"/>
              </w:rPr>
              <w:t>1</w:t>
            </w:r>
            <w:r>
              <w:rPr>
                <w:rFonts w:ascii="Times New Roman" w:hAnsi="Times New Roman"/>
                <w:kern w:val="0"/>
              </w:rPr>
              <w:t>0</w:t>
            </w:r>
          </w:p>
        </w:tc>
        <w:tc>
          <w:tcPr>
            <w:tcW w:w="1415"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约束性</w:t>
            </w:r>
          </w:p>
        </w:tc>
      </w:tr>
      <w:tr>
        <w:tblPrEx>
          <w:tblLayout w:type="fixed"/>
          <w:tblCellMar>
            <w:top w:w="0" w:type="dxa"/>
            <w:left w:w="108" w:type="dxa"/>
            <w:bottom w:w="0" w:type="dxa"/>
            <w:right w:w="108" w:type="dxa"/>
          </w:tblCellMar>
        </w:tblPrEx>
        <w:trPr>
          <w:trHeight w:val="300" w:hRule="atLeast"/>
        </w:trPr>
        <w:tc>
          <w:tcPr>
            <w:tcW w:w="677"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Times New Roman" w:hAnsi="Times New Roman"/>
                <w:kern w:val="0"/>
              </w:rPr>
            </w:pPr>
          </w:p>
        </w:tc>
        <w:tc>
          <w:tcPr>
            <w:tcW w:w="851"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仿宋_GB2312" w:eastAsia="仿宋_GB2312" w:cs="宋体"/>
                <w:kern w:val="0"/>
              </w:rPr>
            </w:pPr>
          </w:p>
        </w:tc>
        <w:tc>
          <w:tcPr>
            <w:tcW w:w="2977"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农田灌溉水有效利用系数</w:t>
            </w:r>
          </w:p>
        </w:tc>
        <w:tc>
          <w:tcPr>
            <w:tcW w:w="99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0.5</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0.52</w:t>
            </w:r>
          </w:p>
        </w:tc>
        <w:tc>
          <w:tcPr>
            <w:tcW w:w="1415"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预期性</w:t>
            </w:r>
          </w:p>
        </w:tc>
      </w:tr>
      <w:tr>
        <w:tblPrEx>
          <w:tblLayout w:type="fixed"/>
          <w:tblCellMar>
            <w:top w:w="0" w:type="dxa"/>
            <w:left w:w="108" w:type="dxa"/>
            <w:bottom w:w="0" w:type="dxa"/>
            <w:right w:w="108" w:type="dxa"/>
          </w:tblCellMar>
        </w:tblPrEx>
        <w:trPr>
          <w:trHeight w:val="348" w:hRule="atLeast"/>
        </w:trPr>
        <w:tc>
          <w:tcPr>
            <w:tcW w:w="677"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Times New Roman" w:hAnsi="Times New Roman"/>
                <w:kern w:val="0"/>
              </w:rPr>
            </w:pPr>
          </w:p>
        </w:tc>
        <w:tc>
          <w:tcPr>
            <w:tcW w:w="851"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仿宋_GB2312" w:eastAsia="仿宋_GB2312" w:cs="宋体"/>
                <w:kern w:val="0"/>
              </w:rPr>
            </w:pPr>
          </w:p>
        </w:tc>
        <w:tc>
          <w:tcPr>
            <w:tcW w:w="2977"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蓄水库容（亿</w:t>
            </w:r>
            <w:r>
              <w:rPr>
                <w:rFonts w:ascii="Times New Roman" w:hAnsi="Times New Roman" w:eastAsia="仿宋_GB2312"/>
                <w:kern w:val="0"/>
              </w:rPr>
              <w:t>m</w:t>
            </w:r>
            <w:r>
              <w:rPr>
                <w:rFonts w:ascii="Times New Roman" w:hAnsi="Times New Roman" w:eastAsia="仿宋_GB2312"/>
                <w:kern w:val="0"/>
                <w:vertAlign w:val="superscript"/>
              </w:rPr>
              <w:t>3</w:t>
            </w:r>
            <w:r>
              <w:rPr>
                <w:rFonts w:hint="eastAsia" w:ascii="仿宋_GB2312" w:eastAsia="仿宋_GB2312" w:cs="宋体"/>
                <w:kern w:val="0"/>
              </w:rPr>
              <w:t>）</w:t>
            </w:r>
          </w:p>
        </w:tc>
        <w:tc>
          <w:tcPr>
            <w:tcW w:w="99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1.48</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1.69</w:t>
            </w:r>
          </w:p>
        </w:tc>
        <w:tc>
          <w:tcPr>
            <w:tcW w:w="1415"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预期性</w:t>
            </w:r>
          </w:p>
        </w:tc>
      </w:tr>
      <w:tr>
        <w:tblPrEx>
          <w:tblLayout w:type="fixed"/>
          <w:tblCellMar>
            <w:top w:w="0" w:type="dxa"/>
            <w:left w:w="108" w:type="dxa"/>
            <w:bottom w:w="0" w:type="dxa"/>
            <w:right w:w="108" w:type="dxa"/>
          </w:tblCellMar>
        </w:tblPrEx>
        <w:trPr>
          <w:trHeight w:val="348" w:hRule="atLeast"/>
        </w:trPr>
        <w:tc>
          <w:tcPr>
            <w:tcW w:w="677"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Times New Roman" w:hAnsi="Times New Roman"/>
                <w:kern w:val="0"/>
              </w:rPr>
            </w:pPr>
          </w:p>
        </w:tc>
        <w:tc>
          <w:tcPr>
            <w:tcW w:w="851"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仿宋_GB2312" w:eastAsia="仿宋_GB2312" w:cs="宋体"/>
                <w:kern w:val="0"/>
              </w:rPr>
            </w:pPr>
          </w:p>
        </w:tc>
        <w:tc>
          <w:tcPr>
            <w:tcW w:w="2977"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水利设施供水能力（亿</w:t>
            </w:r>
            <w:r>
              <w:rPr>
                <w:rFonts w:ascii="Times New Roman" w:hAnsi="Times New Roman" w:eastAsia="仿宋_GB2312"/>
                <w:kern w:val="0"/>
              </w:rPr>
              <w:t>m</w:t>
            </w:r>
            <w:r>
              <w:rPr>
                <w:rFonts w:ascii="Times New Roman" w:hAnsi="Times New Roman" w:eastAsia="仿宋_GB2312"/>
                <w:kern w:val="0"/>
                <w:vertAlign w:val="superscript"/>
              </w:rPr>
              <w:t>3</w:t>
            </w:r>
            <w:r>
              <w:rPr>
                <w:rFonts w:hint="eastAsia" w:ascii="仿宋_GB2312" w:eastAsia="仿宋_GB2312" w:cs="宋体"/>
                <w:kern w:val="0"/>
              </w:rPr>
              <w:t>）</w:t>
            </w:r>
          </w:p>
        </w:tc>
        <w:tc>
          <w:tcPr>
            <w:tcW w:w="99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1.94</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2.21</w:t>
            </w:r>
          </w:p>
        </w:tc>
        <w:tc>
          <w:tcPr>
            <w:tcW w:w="1415"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预期性</w:t>
            </w:r>
          </w:p>
        </w:tc>
      </w:tr>
      <w:tr>
        <w:tblPrEx>
          <w:tblLayout w:type="fixed"/>
          <w:tblCellMar>
            <w:top w:w="0" w:type="dxa"/>
            <w:left w:w="108" w:type="dxa"/>
            <w:bottom w:w="0" w:type="dxa"/>
            <w:right w:w="108" w:type="dxa"/>
          </w:tblCellMar>
        </w:tblPrEx>
        <w:trPr>
          <w:trHeight w:val="300" w:hRule="atLeast"/>
        </w:trPr>
        <w:tc>
          <w:tcPr>
            <w:tcW w:w="677"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Times New Roman" w:hAnsi="Times New Roman"/>
                <w:kern w:val="0"/>
              </w:rPr>
            </w:pPr>
          </w:p>
        </w:tc>
        <w:tc>
          <w:tcPr>
            <w:tcW w:w="851"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仿宋_GB2312" w:eastAsia="仿宋_GB2312" w:cs="宋体"/>
                <w:kern w:val="0"/>
              </w:rPr>
            </w:pPr>
          </w:p>
        </w:tc>
        <w:tc>
          <w:tcPr>
            <w:tcW w:w="2977"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供水保障率（</w:t>
            </w:r>
            <w:r>
              <w:rPr>
                <w:rFonts w:ascii="Times New Roman" w:hAnsi="Times New Roman" w:eastAsia="仿宋_GB2312"/>
                <w:kern w:val="0"/>
              </w:rPr>
              <w:t>%</w:t>
            </w:r>
            <w:r>
              <w:rPr>
                <w:rFonts w:hint="eastAsia" w:ascii="仿宋_GB2312" w:eastAsia="仿宋_GB2312" w:cs="宋体"/>
                <w:kern w:val="0"/>
              </w:rPr>
              <w:t>）</w:t>
            </w:r>
          </w:p>
        </w:tc>
        <w:tc>
          <w:tcPr>
            <w:tcW w:w="99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75</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&gt;90</w:t>
            </w:r>
          </w:p>
        </w:tc>
        <w:tc>
          <w:tcPr>
            <w:tcW w:w="1415"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预期性</w:t>
            </w:r>
          </w:p>
        </w:tc>
      </w:tr>
      <w:tr>
        <w:tblPrEx>
          <w:tblLayout w:type="fixed"/>
          <w:tblCellMar>
            <w:top w:w="0" w:type="dxa"/>
            <w:left w:w="108" w:type="dxa"/>
            <w:bottom w:w="0" w:type="dxa"/>
            <w:right w:w="108" w:type="dxa"/>
          </w:tblCellMar>
        </w:tblPrEx>
        <w:trPr>
          <w:trHeight w:val="372" w:hRule="atLeast"/>
        </w:trPr>
        <w:tc>
          <w:tcPr>
            <w:tcW w:w="677"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Times New Roman" w:hAnsi="Times New Roman"/>
                <w:kern w:val="0"/>
              </w:rPr>
            </w:pPr>
          </w:p>
        </w:tc>
        <w:tc>
          <w:tcPr>
            <w:tcW w:w="851" w:type="dxa"/>
            <w:vMerge w:val="continue"/>
            <w:tcBorders>
              <w:top w:val="single" w:color="000000" w:sz="8" w:space="0"/>
              <w:left w:val="single" w:color="auto" w:sz="8" w:space="0"/>
              <w:bottom w:val="single" w:color="000000" w:sz="8" w:space="0"/>
              <w:right w:val="single" w:color="auto" w:sz="8" w:space="0"/>
            </w:tcBorders>
            <w:vAlign w:val="center"/>
          </w:tcPr>
          <w:p>
            <w:pPr>
              <w:widowControl/>
              <w:jc w:val="left"/>
              <w:rPr>
                <w:rFonts w:ascii="仿宋_GB2312" w:eastAsia="仿宋_GB2312" w:cs="宋体"/>
                <w:kern w:val="0"/>
              </w:rPr>
            </w:pPr>
          </w:p>
        </w:tc>
        <w:tc>
          <w:tcPr>
            <w:tcW w:w="2977"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新增农田有效灌溉面积（万亩）</w:t>
            </w:r>
          </w:p>
        </w:tc>
        <w:tc>
          <w:tcPr>
            <w:tcW w:w="99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36.4</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42.1</w:t>
            </w:r>
          </w:p>
        </w:tc>
        <w:tc>
          <w:tcPr>
            <w:tcW w:w="1415"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预期性</w:t>
            </w:r>
          </w:p>
        </w:tc>
      </w:tr>
      <w:tr>
        <w:tblPrEx>
          <w:tblLayout w:type="fixed"/>
          <w:tblCellMar>
            <w:top w:w="0" w:type="dxa"/>
            <w:left w:w="108" w:type="dxa"/>
            <w:bottom w:w="0" w:type="dxa"/>
            <w:right w:w="108" w:type="dxa"/>
          </w:tblCellMar>
        </w:tblPrEx>
        <w:trPr>
          <w:trHeight w:val="588" w:hRule="atLeast"/>
        </w:trPr>
        <w:tc>
          <w:tcPr>
            <w:tcW w:w="677"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3</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水资源保护与河湖健康保障</w:t>
            </w:r>
          </w:p>
        </w:tc>
        <w:tc>
          <w:tcPr>
            <w:tcW w:w="2977"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城镇集中式饮用水水源地水质达标率（</w:t>
            </w:r>
            <w:r>
              <w:rPr>
                <w:rFonts w:ascii="Times New Roman" w:hAnsi="Times New Roman" w:eastAsia="仿宋_GB2312"/>
                <w:kern w:val="0"/>
              </w:rPr>
              <w:t>%</w:t>
            </w:r>
            <w:r>
              <w:rPr>
                <w:rFonts w:hint="eastAsia" w:ascii="仿宋_GB2312" w:eastAsia="仿宋_GB2312" w:cs="宋体"/>
                <w:kern w:val="0"/>
              </w:rPr>
              <w:t>）</w:t>
            </w:r>
          </w:p>
        </w:tc>
        <w:tc>
          <w:tcPr>
            <w:tcW w:w="99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100</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100</w:t>
            </w:r>
          </w:p>
        </w:tc>
        <w:tc>
          <w:tcPr>
            <w:tcW w:w="1415"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预期性</w:t>
            </w:r>
          </w:p>
        </w:tc>
      </w:tr>
      <w:tr>
        <w:tblPrEx>
          <w:tblLayout w:type="fixed"/>
          <w:tblCellMar>
            <w:top w:w="0" w:type="dxa"/>
            <w:left w:w="108" w:type="dxa"/>
            <w:bottom w:w="0" w:type="dxa"/>
            <w:right w:w="108" w:type="dxa"/>
          </w:tblCellMar>
        </w:tblPrEx>
        <w:trPr>
          <w:trHeight w:val="588" w:hRule="atLeast"/>
        </w:trPr>
        <w:tc>
          <w:tcPr>
            <w:tcW w:w="677"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kern w:val="0"/>
              </w:rPr>
            </w:pPr>
          </w:p>
        </w:tc>
        <w:tc>
          <w:tcPr>
            <w:tcW w:w="851" w:type="dxa"/>
            <w:vMerge w:val="continue"/>
            <w:tcBorders>
              <w:top w:val="nil"/>
              <w:left w:val="single" w:color="auto" w:sz="8" w:space="0"/>
              <w:bottom w:val="single" w:color="000000" w:sz="8" w:space="0"/>
              <w:right w:val="single" w:color="auto" w:sz="8" w:space="0"/>
            </w:tcBorders>
            <w:vAlign w:val="center"/>
          </w:tcPr>
          <w:p>
            <w:pPr>
              <w:widowControl/>
              <w:jc w:val="left"/>
              <w:rPr>
                <w:rFonts w:ascii="仿宋_GB2312" w:eastAsia="仿宋_GB2312" w:cs="宋体"/>
                <w:kern w:val="0"/>
              </w:rPr>
            </w:pPr>
          </w:p>
        </w:tc>
        <w:tc>
          <w:tcPr>
            <w:tcW w:w="2977"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重要江河湖泊水功能区水质达标率（</w:t>
            </w:r>
            <w:r>
              <w:rPr>
                <w:rFonts w:ascii="Times New Roman" w:hAnsi="Times New Roman" w:eastAsia="仿宋_GB2312"/>
                <w:kern w:val="0"/>
              </w:rPr>
              <w:t>%</w:t>
            </w:r>
            <w:r>
              <w:rPr>
                <w:rFonts w:hint="eastAsia" w:ascii="仿宋_GB2312" w:eastAsia="仿宋_GB2312" w:cs="宋体"/>
                <w:kern w:val="0"/>
              </w:rPr>
              <w:t>）</w:t>
            </w:r>
          </w:p>
        </w:tc>
        <w:tc>
          <w:tcPr>
            <w:tcW w:w="99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70</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&gt;85</w:t>
            </w:r>
          </w:p>
        </w:tc>
        <w:tc>
          <w:tcPr>
            <w:tcW w:w="1415"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约束性</w:t>
            </w:r>
          </w:p>
        </w:tc>
      </w:tr>
      <w:tr>
        <w:tblPrEx>
          <w:tblLayout w:type="fixed"/>
          <w:tblCellMar>
            <w:top w:w="0" w:type="dxa"/>
            <w:left w:w="108" w:type="dxa"/>
            <w:bottom w:w="0" w:type="dxa"/>
            <w:right w:w="108" w:type="dxa"/>
          </w:tblCellMar>
        </w:tblPrEx>
        <w:trPr>
          <w:trHeight w:val="636" w:hRule="atLeast"/>
        </w:trPr>
        <w:tc>
          <w:tcPr>
            <w:tcW w:w="677"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kern w:val="0"/>
              </w:rPr>
            </w:pPr>
          </w:p>
        </w:tc>
        <w:tc>
          <w:tcPr>
            <w:tcW w:w="851" w:type="dxa"/>
            <w:vMerge w:val="continue"/>
            <w:tcBorders>
              <w:top w:val="nil"/>
              <w:left w:val="single" w:color="auto" w:sz="8" w:space="0"/>
              <w:bottom w:val="single" w:color="000000" w:sz="8" w:space="0"/>
              <w:right w:val="single" w:color="auto" w:sz="8" w:space="0"/>
            </w:tcBorders>
            <w:vAlign w:val="center"/>
          </w:tcPr>
          <w:p>
            <w:pPr>
              <w:widowControl/>
              <w:jc w:val="left"/>
              <w:rPr>
                <w:rFonts w:ascii="仿宋_GB2312" w:eastAsia="仿宋_GB2312" w:cs="宋体"/>
                <w:kern w:val="0"/>
              </w:rPr>
            </w:pPr>
          </w:p>
        </w:tc>
        <w:tc>
          <w:tcPr>
            <w:tcW w:w="2977"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新增水土流失综合治理面积（</w:t>
            </w:r>
            <w:r>
              <w:rPr>
                <w:rFonts w:ascii="Times New Roman" w:hAnsi="Times New Roman" w:eastAsia="仿宋_GB2312"/>
                <w:kern w:val="0"/>
              </w:rPr>
              <w:t>km</w:t>
            </w:r>
            <w:r>
              <w:rPr>
                <w:rFonts w:ascii="Times New Roman" w:hAnsi="Times New Roman" w:eastAsia="仿宋_GB2312"/>
                <w:kern w:val="0"/>
                <w:vertAlign w:val="superscript"/>
              </w:rPr>
              <w:t>2</w:t>
            </w:r>
            <w:r>
              <w:rPr>
                <w:rFonts w:hint="eastAsia" w:ascii="仿宋_GB2312" w:eastAsia="仿宋_GB2312" w:cs="宋体"/>
                <w:kern w:val="0"/>
              </w:rPr>
              <w:t>）</w:t>
            </w:r>
          </w:p>
        </w:tc>
        <w:tc>
          <w:tcPr>
            <w:tcW w:w="99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196.23</w:t>
            </w:r>
          </w:p>
        </w:tc>
        <w:tc>
          <w:tcPr>
            <w:tcW w:w="1415"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预期性</w:t>
            </w:r>
          </w:p>
        </w:tc>
      </w:tr>
      <w:tr>
        <w:tblPrEx>
          <w:tblLayout w:type="fixed"/>
          <w:tblCellMar>
            <w:top w:w="0" w:type="dxa"/>
            <w:left w:w="108" w:type="dxa"/>
            <w:bottom w:w="0" w:type="dxa"/>
            <w:right w:w="108" w:type="dxa"/>
          </w:tblCellMar>
        </w:tblPrEx>
        <w:trPr>
          <w:trHeight w:val="588" w:hRule="atLeast"/>
        </w:trPr>
        <w:tc>
          <w:tcPr>
            <w:tcW w:w="677"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4</w:t>
            </w:r>
          </w:p>
        </w:tc>
        <w:tc>
          <w:tcPr>
            <w:tcW w:w="851"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涉水事务监管</w:t>
            </w:r>
          </w:p>
        </w:tc>
        <w:tc>
          <w:tcPr>
            <w:tcW w:w="2977"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水利信息化覆盖率（</w:t>
            </w:r>
            <w:r>
              <w:rPr>
                <w:rFonts w:ascii="Times New Roman" w:hAnsi="Times New Roman" w:eastAsia="仿宋_GB2312"/>
                <w:kern w:val="0"/>
              </w:rPr>
              <w:t>%</w:t>
            </w:r>
            <w:r>
              <w:rPr>
                <w:rFonts w:hint="eastAsia" w:ascii="仿宋_GB2312" w:eastAsia="仿宋_GB2312" w:cs="宋体"/>
                <w:kern w:val="0"/>
              </w:rPr>
              <w:t>）</w:t>
            </w:r>
          </w:p>
        </w:tc>
        <w:tc>
          <w:tcPr>
            <w:tcW w:w="991"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w:t>
            </w:r>
          </w:p>
        </w:tc>
        <w:tc>
          <w:tcPr>
            <w:tcW w:w="12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rPr>
            </w:pPr>
            <w:r>
              <w:rPr>
                <w:rFonts w:ascii="Times New Roman" w:hAnsi="Times New Roman"/>
                <w:kern w:val="0"/>
              </w:rPr>
              <w:t>60</w:t>
            </w:r>
            <w:r>
              <w:rPr>
                <w:rFonts w:hint="eastAsia" w:ascii="Times New Roman" w:hAnsi="Times New Roman"/>
                <w:kern w:val="0"/>
              </w:rPr>
              <w:t>%</w:t>
            </w:r>
          </w:p>
        </w:tc>
        <w:tc>
          <w:tcPr>
            <w:tcW w:w="1415" w:type="dxa"/>
            <w:tcBorders>
              <w:top w:val="nil"/>
              <w:left w:val="nil"/>
              <w:bottom w:val="single" w:color="auto" w:sz="8" w:space="0"/>
              <w:right w:val="single" w:color="auto" w:sz="8" w:space="0"/>
            </w:tcBorders>
            <w:shd w:val="clear" w:color="auto" w:fill="auto"/>
            <w:vAlign w:val="center"/>
          </w:tcPr>
          <w:p>
            <w:pPr>
              <w:widowControl/>
              <w:jc w:val="center"/>
              <w:rPr>
                <w:rFonts w:ascii="仿宋_GB2312" w:eastAsia="仿宋_GB2312" w:cs="宋体"/>
                <w:kern w:val="0"/>
              </w:rPr>
            </w:pPr>
            <w:r>
              <w:rPr>
                <w:rFonts w:hint="eastAsia" w:ascii="仿宋_GB2312" w:eastAsia="仿宋_GB2312" w:cs="宋体"/>
                <w:kern w:val="0"/>
              </w:rPr>
              <w:t>预期性</w:t>
            </w:r>
          </w:p>
        </w:tc>
      </w:tr>
    </w:tbl>
    <w:p>
      <w:pPr>
        <w:spacing w:line="560" w:lineRule="exact"/>
        <w:jc w:val="center"/>
        <w:rPr>
          <w:rFonts w:ascii="Times New Roman" w:hAnsi="Times New Roman" w:eastAsia="黑体"/>
          <w:sz w:val="24"/>
          <w:szCs w:val="24"/>
        </w:rPr>
      </w:pPr>
    </w:p>
    <w:p>
      <w:pPr>
        <w:spacing w:line="560" w:lineRule="exact"/>
        <w:ind w:firstLine="576" w:firstLineChars="200"/>
        <w:rPr>
          <w:rFonts w:ascii="Times New Roman" w:hAnsi="Times New Roman" w:eastAsia="仿宋_GB2312"/>
          <w:color w:val="auto"/>
          <w:spacing w:val="4"/>
          <w:sz w:val="28"/>
          <w:szCs w:val="28"/>
        </w:rPr>
        <w:sectPr>
          <w:headerReference r:id="rId11" w:type="default"/>
          <w:footerReference r:id="rId12" w:type="default"/>
          <w:pgSz w:w="11906" w:h="16838"/>
          <w:pgMar w:top="1440" w:right="1366" w:bottom="1440" w:left="1366" w:header="851" w:footer="850" w:gutter="454"/>
          <w:cols w:space="720" w:num="1"/>
          <w:docGrid w:type="linesAndChars" w:linePitch="312" w:charSpace="0"/>
        </w:sectPr>
      </w:pPr>
    </w:p>
    <w:p>
      <w:pPr>
        <w:pStyle w:val="4"/>
      </w:pPr>
      <w:bookmarkStart w:id="29" w:name="_Toc62461309"/>
      <w:bookmarkStart w:id="30" w:name="_Toc43754880"/>
      <w:r>
        <w:t>规划布局</w:t>
      </w:r>
      <w:bookmarkEnd w:id="29"/>
      <w:bookmarkEnd w:id="30"/>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围绕勐海县的战略目标和国土空间开发保护总体部署，强化水资源刚性约束，坚持山水林田湖草综合治理、系统治理，针对流域特点和实际，明确发展重点，着力解决突出水问题，逐步建成水资源</w:t>
      </w:r>
      <w:r>
        <w:rPr>
          <w:rFonts w:hint="eastAsia" w:cs="宋体"/>
          <w:color w:val="auto"/>
          <w:spacing w:val="4"/>
          <w:sz w:val="28"/>
          <w:szCs w:val="28"/>
        </w:rPr>
        <w:t>、</w:t>
      </w:r>
      <w:r>
        <w:rPr>
          <w:rFonts w:hint="eastAsia" w:ascii="Times New Roman" w:hAnsi="Times New Roman" w:eastAsia="仿宋_GB2312"/>
          <w:color w:val="auto"/>
          <w:spacing w:val="4"/>
          <w:sz w:val="28"/>
          <w:szCs w:val="28"/>
        </w:rPr>
        <w:t>水生态环境与勐海县人口资源经济相均衡的水安全保障格局。</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按照勐海县打造</w:t>
      </w:r>
      <w:r>
        <w:rPr>
          <w:rFonts w:hint="eastAsia" w:ascii="Times New Roman" w:hAnsi="Times New Roman" w:eastAsia="仿宋_GB2312"/>
          <w:color w:val="auto"/>
          <w:spacing w:val="4"/>
          <w:sz w:val="28"/>
          <w:szCs w:val="28"/>
        </w:rPr>
        <w:t>“</w:t>
      </w:r>
      <w:commentRangeStart w:id="25"/>
      <w:r>
        <w:rPr>
          <w:rFonts w:hint="eastAsia" w:ascii="Times New Roman" w:hAnsi="Times New Roman" w:eastAsia="仿宋_GB2312"/>
          <w:color w:val="auto"/>
          <w:spacing w:val="4"/>
          <w:sz w:val="28"/>
          <w:szCs w:val="28"/>
        </w:rPr>
        <w:t>中国普洱茶第一县”“西双版纳春城</w:t>
      </w:r>
      <w:commentRangeEnd w:id="25"/>
      <w:r>
        <w:rPr>
          <w:rStyle w:val="39"/>
        </w:rPr>
        <w:commentReference w:id="25"/>
      </w:r>
      <w:r>
        <w:rPr>
          <w:rFonts w:hint="eastAsia" w:ascii="Times New Roman" w:hAnsi="Times New Roman" w:eastAsia="仿宋_GB2312"/>
          <w:color w:val="auto"/>
          <w:spacing w:val="4"/>
          <w:sz w:val="28"/>
          <w:szCs w:val="28"/>
        </w:rPr>
        <w:t>”两张名片为重点，主动融入“世界旅游名城”和“景洪</w:t>
      </w:r>
      <w:r>
        <w:rPr>
          <w:rFonts w:ascii="Times New Roman" w:hAnsi="Times New Roman" w:eastAsia="仿宋_GB2312"/>
          <w:color w:val="auto"/>
          <w:spacing w:val="4"/>
          <w:sz w:val="28"/>
          <w:szCs w:val="28"/>
        </w:rPr>
        <w:t>~勐海同城化”建设为目标，结合勐海县</w:t>
      </w:r>
      <w:r>
        <w:rPr>
          <w:rFonts w:hint="eastAsia" w:ascii="Times New Roman" w:hAnsi="Times New Roman" w:eastAsia="仿宋_GB2312"/>
          <w:color w:val="auto"/>
          <w:spacing w:val="4"/>
          <w:sz w:val="28"/>
          <w:szCs w:val="28"/>
        </w:rPr>
        <w:t>“</w:t>
      </w:r>
      <w:commentRangeStart w:id="26"/>
      <w:r>
        <w:rPr>
          <w:rFonts w:ascii="Times New Roman" w:hAnsi="Times New Roman" w:eastAsia="仿宋_GB2312"/>
          <w:color w:val="auto"/>
          <w:spacing w:val="4"/>
          <w:sz w:val="28"/>
          <w:szCs w:val="28"/>
        </w:rPr>
        <w:t>两核两轴、三线四片</w:t>
      </w:r>
      <w:commentRangeEnd w:id="26"/>
      <w:r>
        <w:rPr>
          <w:rStyle w:val="39"/>
        </w:rPr>
        <w:commentReference w:id="26"/>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的城镇空间布局</w:t>
      </w:r>
      <w:r>
        <w:rPr>
          <w:rFonts w:hint="eastAsia" w:ascii="Times New Roman" w:hAnsi="Times New Roman" w:eastAsia="仿宋_GB2312"/>
          <w:color w:val="auto"/>
          <w:spacing w:val="4"/>
          <w:sz w:val="28"/>
          <w:szCs w:val="28"/>
        </w:rPr>
        <w:t>，</w:t>
      </w:r>
      <w:commentRangeStart w:id="27"/>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一核多点、一环两轴、五大片区</w:t>
      </w:r>
      <w:commentRangeEnd w:id="27"/>
      <w:r>
        <w:rPr>
          <w:rStyle w:val="39"/>
        </w:rPr>
        <w:commentReference w:id="27"/>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的县域产业布局和</w:t>
      </w:r>
      <w:r>
        <w:rPr>
          <w:rFonts w:hint="eastAsia" w:ascii="Times New Roman" w:hAnsi="Times New Roman" w:eastAsia="仿宋_GB2312"/>
          <w:color w:val="auto"/>
          <w:spacing w:val="4"/>
          <w:sz w:val="28"/>
          <w:szCs w:val="28"/>
        </w:rPr>
        <w:t>“</w:t>
      </w:r>
      <w:commentRangeStart w:id="28"/>
      <w:r>
        <w:rPr>
          <w:rFonts w:ascii="Times New Roman" w:hAnsi="Times New Roman" w:eastAsia="仿宋_GB2312"/>
          <w:color w:val="auto"/>
          <w:spacing w:val="4"/>
          <w:sz w:val="28"/>
          <w:szCs w:val="28"/>
        </w:rPr>
        <w:t>两心一环两轴三区</w:t>
      </w:r>
      <w:commentRangeEnd w:id="28"/>
      <w:r>
        <w:rPr>
          <w:rStyle w:val="39"/>
        </w:rPr>
        <w:commentReference w:id="28"/>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的旅游发展总体布局</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综合考虑勐海县水系分布、水土资源条件、社会经济发展格局和水资源开发利用现状，本次规划将规划范围分为</w:t>
      </w:r>
      <w:r>
        <w:rPr>
          <w:rFonts w:hint="eastAsia" w:ascii="Times New Roman" w:hAnsi="Times New Roman" w:eastAsia="仿宋_GB2312"/>
          <w:color w:val="auto"/>
          <w:spacing w:val="4"/>
          <w:sz w:val="28"/>
          <w:szCs w:val="28"/>
        </w:rPr>
        <w:t>南览河片区、澜沧江</w:t>
      </w:r>
      <w:r>
        <w:rPr>
          <w:rFonts w:ascii="Times New Roman" w:hAnsi="Times New Roman" w:eastAsia="仿宋_GB2312"/>
          <w:color w:val="auto"/>
          <w:spacing w:val="4"/>
          <w:sz w:val="28"/>
          <w:szCs w:val="28"/>
        </w:rPr>
        <w:t>片区和</w:t>
      </w:r>
      <w:r>
        <w:rPr>
          <w:rFonts w:hint="eastAsia" w:ascii="Times New Roman" w:hAnsi="Times New Roman" w:eastAsia="仿宋_GB2312"/>
          <w:color w:val="auto"/>
          <w:spacing w:val="4"/>
          <w:sz w:val="28"/>
          <w:szCs w:val="28"/>
        </w:rPr>
        <w:t>流沙河</w:t>
      </w:r>
      <w:r>
        <w:rPr>
          <w:rFonts w:ascii="Times New Roman" w:hAnsi="Times New Roman" w:eastAsia="仿宋_GB2312"/>
          <w:color w:val="auto"/>
          <w:spacing w:val="4"/>
          <w:sz w:val="28"/>
          <w:szCs w:val="28"/>
        </w:rPr>
        <w:t>片区。3个片区水安全保障规划布局分别如下：</w:t>
      </w:r>
    </w:p>
    <w:p>
      <w:pPr>
        <w:adjustRightInd w:val="0"/>
        <w:snapToGrid w:val="0"/>
        <w:spacing w:line="560" w:lineRule="exact"/>
        <w:ind w:firstLine="560" w:firstLineChars="200"/>
        <w:rPr>
          <w:rFonts w:ascii="Times New Roman" w:hAnsi="Times New Roman" w:eastAsia="仿宋_GB2312" w:cs="仿宋_GB2312"/>
          <w:color w:val="auto"/>
          <w:spacing w:val="4"/>
          <w:sz w:val="28"/>
          <w:szCs w:val="28"/>
        </w:rPr>
      </w:pPr>
      <w:r>
        <w:rPr>
          <w:rFonts w:hint="eastAsia" w:ascii="Times New Roman" w:hAnsi="Times New Roman" w:eastAsia="仿宋_GB2312" w:cs="仿宋_GB2312"/>
          <w:sz w:val="28"/>
          <w:szCs w:val="28"/>
        </w:rPr>
        <w:t>流沙河片区：</w:t>
      </w:r>
      <w:r>
        <w:rPr>
          <w:rFonts w:hint="eastAsia" w:ascii="Times New Roman" w:hAnsi="Times New Roman" w:eastAsia="仿宋_GB2312" w:cs="仿宋_GB2312"/>
          <w:color w:val="auto"/>
          <w:spacing w:val="4"/>
          <w:sz w:val="28"/>
          <w:szCs w:val="28"/>
        </w:rPr>
        <w:t>该片区涉及勐遮镇、勐海镇、勐宋乡、</w:t>
      </w:r>
      <w:r>
        <w:rPr>
          <w:rFonts w:hint="eastAsia" w:ascii="Times New Roman" w:hAnsi="Times New Roman" w:eastAsia="仿宋_GB2312" w:cs="仿宋_GB2312"/>
          <w:sz w:val="28"/>
          <w:szCs w:val="28"/>
        </w:rPr>
        <w:t>格朗和乡、勐混镇和布朗山乡，</w:t>
      </w:r>
      <w:r>
        <w:rPr>
          <w:rFonts w:ascii="Times New Roman" w:hAnsi="Times New Roman" w:eastAsia="仿宋_GB2312" w:cs="仿宋_GB2312"/>
          <w:sz w:val="28"/>
          <w:szCs w:val="28"/>
        </w:rPr>
        <w:t>片区面积</w:t>
      </w:r>
      <w:r>
        <w:rPr>
          <w:rFonts w:hint="eastAsia" w:ascii="Times New Roman" w:hAnsi="Times New Roman" w:eastAsia="仿宋_GB2312"/>
          <w:color w:val="auto"/>
          <w:spacing w:val="4"/>
          <w:sz w:val="28"/>
          <w:szCs w:val="28"/>
        </w:rPr>
        <w:t xml:space="preserve">1755.35 </w:t>
      </w:r>
      <w:r>
        <w:rPr>
          <w:rFonts w:ascii="Times New Roman" w:hAnsi="Times New Roman" w:eastAsia="仿宋_GB2312" w:cs="仿宋_GB2312"/>
          <w:sz w:val="28"/>
          <w:szCs w:val="28"/>
        </w:rPr>
        <w:t>km</w:t>
      </w:r>
      <w:r>
        <w:rPr>
          <w:rFonts w:ascii="Times New Roman" w:hAnsi="Times New Roman" w:eastAsia="仿宋_GB2312" w:cs="仿宋_GB2312"/>
          <w:sz w:val="28"/>
          <w:szCs w:val="28"/>
          <w:vertAlign w:val="superscript"/>
        </w:rPr>
        <w:t>2</w:t>
      </w:r>
      <w:r>
        <w:rPr>
          <w:rFonts w:hint="eastAsia" w:ascii="Times New Roman" w:hAnsi="Times New Roman" w:eastAsia="仿宋_GB2312" w:cs="仿宋_GB2312"/>
          <w:sz w:val="28"/>
          <w:szCs w:val="28"/>
        </w:rPr>
        <w:t>。该片区主要水系为流沙河水系，主要河流有流沙河、南木河、曼蚌河、南木令河，主要水库有勐帮水库、那达勐水库、</w:t>
      </w:r>
      <w:r>
        <w:rPr>
          <w:rFonts w:hint="eastAsia" w:ascii="Times New Roman" w:hAnsi="Times New Roman" w:eastAsia="仿宋_GB2312" w:cs="仿宋_GB2312"/>
          <w:color w:val="auto"/>
          <w:sz w:val="28"/>
          <w:szCs w:val="28"/>
        </w:rPr>
        <w:t>曼满水库、曼桂水库、</w:t>
      </w:r>
      <w:r>
        <w:rPr>
          <w:rFonts w:hint="eastAsia" w:ascii="Times New Roman" w:hAnsi="Times New Roman" w:eastAsia="仿宋_GB2312" w:cs="仿宋_GB2312"/>
          <w:sz w:val="28"/>
          <w:szCs w:val="28"/>
        </w:rPr>
        <w:t>曼老水库、特林水库、曼哈水库、曼兴水库、平湖水库等，为水资源丰富区域。</w:t>
      </w:r>
      <w:r>
        <w:rPr>
          <w:rFonts w:ascii="Times New Roman" w:hAnsi="Times New Roman" w:eastAsia="仿宋_GB2312" w:cs="仿宋_GB2312"/>
          <w:color w:val="auto"/>
          <w:spacing w:val="4"/>
          <w:sz w:val="28"/>
          <w:szCs w:val="28"/>
        </w:rPr>
        <w:t>该片区位于勐海县主城区</w:t>
      </w:r>
      <w:r>
        <w:rPr>
          <w:rFonts w:hint="eastAsia" w:ascii="Times New Roman" w:hAnsi="Times New Roman" w:eastAsia="仿宋_GB2312" w:cs="仿宋_GB2312"/>
          <w:color w:val="auto"/>
          <w:spacing w:val="4"/>
          <w:sz w:val="28"/>
          <w:szCs w:val="28"/>
        </w:rPr>
        <w:t>，该片区内流沙河穿过主城区，但河流水生态环境与当地人民对美好生活的向往仍有一定差距，需重点开展水环境综合整治，全面治理两污，提升河流生态系统结构及功能稳定性，打造河清岸绿的母亲河，以提升城市形象；并通过水文化宣传，水景观营造，灌区现代化建设与改造，</w:t>
      </w:r>
      <w:r>
        <w:rPr>
          <w:rFonts w:hint="eastAsia" w:ascii="Times New Roman" w:hAnsi="Times New Roman" w:eastAsia="仿宋_GB2312" w:cs="仿宋_GB2312"/>
          <w:sz w:val="28"/>
          <w:szCs w:val="28"/>
        </w:rPr>
        <w:t>依托那达勐水库风景资源和水生态保护建设，发展水生态观光科普和古茶文化体验，</w:t>
      </w:r>
      <w:r>
        <w:rPr>
          <w:rFonts w:hint="eastAsia" w:ascii="Times New Roman" w:hAnsi="Times New Roman" w:eastAsia="仿宋_GB2312" w:cs="仿宋_GB2312"/>
          <w:color w:val="auto"/>
          <w:spacing w:val="4"/>
          <w:sz w:val="28"/>
          <w:szCs w:val="28"/>
        </w:rPr>
        <w:t>打造面向全国的生态旅游空间，进一步提高茶文化知名度、打造中国普洱茶第一县。</w:t>
      </w:r>
      <w:r>
        <w:rPr>
          <w:rFonts w:ascii="Times New Roman" w:hAnsi="Times New Roman" w:eastAsia="仿宋_GB2312" w:cs="仿宋_GB2312"/>
          <w:color w:val="auto"/>
          <w:spacing w:val="4"/>
          <w:sz w:val="28"/>
          <w:szCs w:val="28"/>
        </w:rPr>
        <w:t>本片区发展规划重点为：</w:t>
      </w:r>
      <w:r>
        <w:rPr>
          <w:rFonts w:hint="eastAsia" w:ascii="Times New Roman" w:hAnsi="Times New Roman" w:eastAsia="仿宋_GB2312" w:cs="仿宋_GB2312"/>
          <w:color w:val="auto"/>
          <w:spacing w:val="4"/>
          <w:sz w:val="28"/>
          <w:szCs w:val="28"/>
        </w:rPr>
        <w:t>灌区现代化建设及改造、水环境综合治理、水系连通及农村水系综合整治。</w:t>
      </w:r>
    </w:p>
    <w:p>
      <w:pPr>
        <w:adjustRightInd w:val="0"/>
        <w:snapToGrid w:val="0"/>
        <w:spacing w:line="560" w:lineRule="exact"/>
        <w:ind w:firstLine="576" w:firstLineChars="200"/>
        <w:rPr>
          <w:rFonts w:ascii="Times New Roman" w:hAnsi="Times New Roman" w:eastAsia="仿宋_GB2312" w:cs="仿宋_GB2312"/>
          <w:color w:val="auto"/>
          <w:spacing w:val="4"/>
          <w:sz w:val="28"/>
          <w:szCs w:val="28"/>
        </w:rPr>
      </w:pPr>
      <w:r>
        <w:rPr>
          <w:rFonts w:hint="eastAsia" w:ascii="Times New Roman" w:hAnsi="Times New Roman" w:eastAsia="仿宋_GB2312" w:cs="仿宋_GB2312"/>
          <w:color w:val="auto"/>
          <w:spacing w:val="4"/>
          <w:sz w:val="28"/>
          <w:szCs w:val="28"/>
        </w:rPr>
        <w:t>南览河片区：该片区涉及</w:t>
      </w:r>
      <w:r>
        <w:rPr>
          <w:rFonts w:hint="eastAsia" w:ascii="Times New Roman" w:hAnsi="Times New Roman" w:eastAsia="仿宋_GB2312" w:cs="仿宋_GB2312"/>
          <w:sz w:val="28"/>
          <w:szCs w:val="28"/>
        </w:rPr>
        <w:t>打洛镇全部、西定乡绝大部分、勐满镇和布朗山乡部分区域，</w:t>
      </w:r>
      <w:r>
        <w:rPr>
          <w:rFonts w:ascii="Times New Roman" w:hAnsi="Times New Roman" w:eastAsia="仿宋_GB2312" w:cs="仿宋_GB2312"/>
          <w:sz w:val="28"/>
          <w:szCs w:val="28"/>
        </w:rPr>
        <w:t>片区面积</w:t>
      </w:r>
      <w:r>
        <w:rPr>
          <w:rFonts w:hint="eastAsia" w:ascii="Times New Roman" w:hAnsi="Times New Roman" w:eastAsia="仿宋_GB2312"/>
          <w:color w:val="auto"/>
          <w:spacing w:val="4"/>
          <w:sz w:val="28"/>
          <w:szCs w:val="28"/>
        </w:rPr>
        <w:t>2010.81</w:t>
      </w:r>
      <w:r>
        <w:rPr>
          <w:rFonts w:ascii="Times New Roman" w:hAnsi="Times New Roman" w:eastAsia="仿宋_GB2312" w:cs="仿宋_GB2312"/>
          <w:sz w:val="28"/>
          <w:szCs w:val="28"/>
        </w:rPr>
        <w:t>km</w:t>
      </w:r>
      <w:r>
        <w:rPr>
          <w:rFonts w:ascii="Times New Roman" w:hAnsi="Times New Roman" w:eastAsia="仿宋_GB2312" w:cs="仿宋_GB2312"/>
          <w:sz w:val="28"/>
          <w:szCs w:val="28"/>
          <w:vertAlign w:val="superscript"/>
        </w:rPr>
        <w:t>2</w:t>
      </w:r>
      <w:r>
        <w:rPr>
          <w:rFonts w:hint="eastAsia" w:ascii="Times New Roman" w:hAnsi="Times New Roman" w:eastAsia="仿宋_GB2312" w:cs="仿宋_GB2312"/>
          <w:sz w:val="28"/>
          <w:szCs w:val="28"/>
        </w:rPr>
        <w:t>。</w:t>
      </w:r>
      <w:r>
        <w:rPr>
          <w:rFonts w:hint="eastAsia" w:ascii="Times New Roman" w:hAnsi="Times New Roman" w:eastAsia="仿宋_GB2312" w:cs="仿宋_GB2312"/>
          <w:color w:val="auto"/>
          <w:spacing w:val="4"/>
          <w:sz w:val="28"/>
          <w:szCs w:val="28"/>
        </w:rPr>
        <w:t>南览河</w:t>
      </w:r>
      <w:r>
        <w:rPr>
          <w:rFonts w:hint="eastAsia" w:ascii="Times New Roman" w:hAnsi="Times New Roman" w:eastAsia="仿宋_GB2312" w:cs="仿宋_GB2312"/>
          <w:sz w:val="28"/>
          <w:szCs w:val="28"/>
        </w:rPr>
        <w:t>片区内主要为南览河水系，</w:t>
      </w:r>
      <w:r>
        <w:rPr>
          <w:rFonts w:ascii="Times New Roman" w:hAnsi="Times New Roman" w:eastAsia="仿宋_GB2312" w:cs="仿宋_GB2312"/>
          <w:color w:val="auto"/>
          <w:spacing w:val="4"/>
          <w:sz w:val="28"/>
          <w:szCs w:val="28"/>
        </w:rPr>
        <w:t>该片区</w:t>
      </w:r>
      <w:r>
        <w:rPr>
          <w:rFonts w:hint="eastAsia" w:ascii="Times New Roman" w:hAnsi="Times New Roman" w:eastAsia="仿宋_GB2312" w:cs="仿宋_GB2312"/>
          <w:color w:val="auto"/>
          <w:spacing w:val="4"/>
          <w:sz w:val="28"/>
          <w:szCs w:val="28"/>
        </w:rPr>
        <w:t>现有</w:t>
      </w:r>
      <w:r>
        <w:rPr>
          <w:rFonts w:ascii="Times New Roman" w:hAnsi="Times New Roman" w:eastAsia="仿宋_GB2312" w:cs="仿宋_GB2312"/>
          <w:color w:val="auto"/>
          <w:spacing w:val="4"/>
          <w:sz w:val="28"/>
          <w:szCs w:val="28"/>
        </w:rPr>
        <w:t>水</w:t>
      </w:r>
      <w:r>
        <w:rPr>
          <w:rFonts w:hint="eastAsia" w:ascii="Times New Roman" w:hAnsi="Times New Roman" w:eastAsia="仿宋_GB2312" w:cs="仿宋_GB2312"/>
          <w:color w:val="auto"/>
          <w:spacing w:val="4"/>
          <w:sz w:val="28"/>
          <w:szCs w:val="28"/>
        </w:rPr>
        <w:t>源</w:t>
      </w:r>
      <w:r>
        <w:rPr>
          <w:rFonts w:ascii="Times New Roman" w:hAnsi="Times New Roman" w:eastAsia="仿宋_GB2312" w:cs="仿宋_GB2312"/>
          <w:color w:val="auto"/>
          <w:spacing w:val="4"/>
          <w:sz w:val="28"/>
          <w:szCs w:val="28"/>
        </w:rPr>
        <w:t>工程</w:t>
      </w:r>
      <w:r>
        <w:rPr>
          <w:rFonts w:hint="eastAsia" w:ascii="Times New Roman" w:hAnsi="Times New Roman" w:eastAsia="仿宋_GB2312" w:cs="仿宋_GB2312"/>
          <w:color w:val="auto"/>
          <w:spacing w:val="4"/>
          <w:sz w:val="28"/>
          <w:szCs w:val="28"/>
        </w:rPr>
        <w:t>较</w:t>
      </w:r>
      <w:r>
        <w:rPr>
          <w:rFonts w:ascii="Times New Roman" w:hAnsi="Times New Roman" w:eastAsia="仿宋_GB2312" w:cs="仿宋_GB2312"/>
          <w:color w:val="auto"/>
          <w:spacing w:val="4"/>
          <w:sz w:val="28"/>
          <w:szCs w:val="28"/>
        </w:rPr>
        <w:t>少</w:t>
      </w:r>
      <w:r>
        <w:rPr>
          <w:rFonts w:hint="eastAsia" w:ascii="Times New Roman" w:hAnsi="Times New Roman" w:eastAsia="仿宋_GB2312" w:cs="仿宋_GB2312"/>
          <w:color w:val="auto"/>
          <w:spacing w:val="4"/>
          <w:sz w:val="28"/>
          <w:szCs w:val="28"/>
        </w:rPr>
        <w:t>，以小型水库为主，如幸福展水库、勐满水库、南列水库、帕龙水库、曼卡水库、曼蚌水库等，</w:t>
      </w:r>
      <w:r>
        <w:rPr>
          <w:rFonts w:ascii="Times New Roman" w:hAnsi="Times New Roman" w:eastAsia="仿宋_GB2312" w:cs="仿宋_GB2312"/>
          <w:color w:val="auto"/>
          <w:spacing w:val="4"/>
          <w:sz w:val="28"/>
          <w:szCs w:val="28"/>
        </w:rPr>
        <w:t>水资源相对匮乏</w:t>
      </w:r>
      <w:r>
        <w:rPr>
          <w:rFonts w:hint="eastAsia" w:ascii="Times New Roman" w:hAnsi="Times New Roman" w:eastAsia="仿宋_GB2312" w:cs="仿宋_GB2312"/>
          <w:color w:val="auto"/>
          <w:spacing w:val="4"/>
          <w:sz w:val="28"/>
          <w:szCs w:val="28"/>
        </w:rPr>
        <w:t>；此外，该片区供水工程已饮水工程为主，调蓄能力下不足，供水保障率低，需加强中小型水源工程建设，补齐水源工程短板；此外，该片区内的打洛镇已建成</w:t>
      </w:r>
      <w:r>
        <w:rPr>
          <w:rFonts w:hint="eastAsia" w:ascii="Times New Roman" w:hAnsi="Times New Roman" w:eastAsia="仿宋_GB2312" w:cs="仿宋_GB2312"/>
          <w:sz w:val="28"/>
          <w:szCs w:val="28"/>
        </w:rPr>
        <w:t>打洛口岸边境贸易民俗旅游区，</w:t>
      </w:r>
      <w:r>
        <w:rPr>
          <w:rFonts w:hint="eastAsia" w:ascii="Times New Roman" w:hAnsi="Times New Roman" w:eastAsia="仿宋_GB2312" w:cs="仿宋_GB2312"/>
          <w:color w:val="auto"/>
          <w:spacing w:val="4"/>
          <w:sz w:val="28"/>
          <w:szCs w:val="28"/>
        </w:rPr>
        <w:t>该区域可</w:t>
      </w:r>
      <w:r>
        <w:rPr>
          <w:rFonts w:hint="eastAsia" w:ascii="Times New Roman" w:hAnsi="Times New Roman" w:eastAsia="仿宋_GB2312" w:cs="仿宋_GB2312"/>
          <w:sz w:val="28"/>
          <w:szCs w:val="28"/>
        </w:rPr>
        <w:t>依托南览河和规划建设的曼彦水库等水利风景资源，发展边境水岸观光休闲体验</w:t>
      </w:r>
      <w:r>
        <w:rPr>
          <w:rFonts w:hint="eastAsia" w:ascii="Times New Roman" w:hAnsi="Times New Roman" w:eastAsia="仿宋_GB2312" w:cs="仿宋_GB2312"/>
          <w:color w:val="auto"/>
          <w:spacing w:val="4"/>
          <w:sz w:val="28"/>
          <w:szCs w:val="28"/>
        </w:rPr>
        <w:t>；另外，南览河片主要以茶、橡胶等经济作物种植为主，需加强节水灌溉和水土保持建设，提高灌溉用水率，促进脱贫攻坚和农民增收。</w:t>
      </w:r>
      <w:r>
        <w:rPr>
          <w:rFonts w:ascii="Times New Roman" w:hAnsi="Times New Roman" w:eastAsia="仿宋_GB2312" w:cs="仿宋_GB2312"/>
          <w:color w:val="auto"/>
          <w:spacing w:val="4"/>
          <w:sz w:val="28"/>
          <w:szCs w:val="28"/>
        </w:rPr>
        <w:t>本片区发展规划重点为：水库建设</w:t>
      </w:r>
      <w:r>
        <w:rPr>
          <w:rFonts w:hint="eastAsia" w:ascii="Times New Roman" w:hAnsi="Times New Roman" w:eastAsia="仿宋_GB2312" w:cs="仿宋_GB2312"/>
          <w:color w:val="auto"/>
          <w:spacing w:val="4"/>
          <w:sz w:val="28"/>
          <w:szCs w:val="28"/>
        </w:rPr>
        <w:t>、</w:t>
      </w:r>
      <w:r>
        <w:rPr>
          <w:rFonts w:ascii="Times New Roman" w:hAnsi="Times New Roman" w:eastAsia="仿宋_GB2312" w:cs="仿宋_GB2312"/>
          <w:color w:val="auto"/>
          <w:spacing w:val="4"/>
          <w:sz w:val="28"/>
          <w:szCs w:val="28"/>
        </w:rPr>
        <w:t>灌区建设、生态清洁小流域综合治理等</w:t>
      </w:r>
      <w:r>
        <w:rPr>
          <w:rFonts w:hint="eastAsia" w:ascii="Times New Roman" w:hAnsi="Times New Roman" w:eastAsia="仿宋_GB2312" w:cs="仿宋_GB2312"/>
          <w:sz w:val="28"/>
          <w:szCs w:val="28"/>
        </w:rPr>
        <w:t>。</w:t>
      </w:r>
    </w:p>
    <w:p>
      <w:pPr>
        <w:adjustRightInd w:val="0"/>
        <w:snapToGrid w:val="0"/>
        <w:spacing w:line="560" w:lineRule="exact"/>
        <w:rPr>
          <w:rFonts w:ascii="Times New Roman" w:hAnsi="Times New Roman" w:eastAsia="仿宋_GB2312" w:cs="仿宋_GB2312"/>
          <w:sz w:val="28"/>
          <w:szCs w:val="28"/>
        </w:rPr>
      </w:pPr>
      <w:r>
        <w:rPr>
          <w:rFonts w:hint="eastAsia" w:ascii="Times New Roman" w:hAnsi="Times New Roman" w:eastAsia="仿宋_GB2312" w:cs="仿宋_GB2312"/>
          <w:color w:val="auto"/>
          <w:spacing w:val="4"/>
          <w:sz w:val="28"/>
          <w:szCs w:val="28"/>
        </w:rPr>
        <w:t>南果河片区：该片区涉及勐宋、勐往、勐阿、勐海4个乡镇，</w:t>
      </w:r>
      <w:r>
        <w:rPr>
          <w:rFonts w:ascii="Times New Roman" w:hAnsi="Times New Roman" w:eastAsia="仿宋_GB2312" w:cs="仿宋_GB2312"/>
          <w:sz w:val="28"/>
          <w:szCs w:val="28"/>
        </w:rPr>
        <w:t>片区面积</w:t>
      </w:r>
      <w:r>
        <w:rPr>
          <w:rFonts w:hint="eastAsia" w:ascii="Times New Roman" w:hAnsi="Times New Roman" w:eastAsia="仿宋_GB2312"/>
          <w:color w:val="auto"/>
          <w:spacing w:val="4"/>
          <w:sz w:val="28"/>
          <w:szCs w:val="28"/>
        </w:rPr>
        <w:t xml:space="preserve">1402.2 </w:t>
      </w:r>
      <w:r>
        <w:rPr>
          <w:rFonts w:ascii="Times New Roman" w:hAnsi="Times New Roman" w:eastAsia="仿宋_GB2312" w:cs="仿宋_GB2312"/>
          <w:sz w:val="28"/>
          <w:szCs w:val="28"/>
        </w:rPr>
        <w:t>km</w:t>
      </w:r>
      <w:r>
        <w:rPr>
          <w:rFonts w:ascii="Times New Roman" w:hAnsi="Times New Roman" w:eastAsia="仿宋_GB2312" w:cs="仿宋_GB2312"/>
          <w:sz w:val="28"/>
          <w:szCs w:val="28"/>
          <w:vertAlign w:val="superscript"/>
        </w:rPr>
        <w:t>2</w:t>
      </w:r>
      <w:r>
        <w:rPr>
          <w:rFonts w:hint="eastAsia" w:ascii="Times New Roman" w:hAnsi="Times New Roman" w:eastAsia="仿宋_GB2312" w:cs="仿宋_GB2312"/>
          <w:sz w:val="28"/>
          <w:szCs w:val="28"/>
        </w:rPr>
        <w:t>。</w:t>
      </w:r>
      <w:r>
        <w:rPr>
          <w:rFonts w:ascii="Times New Roman" w:hAnsi="Times New Roman" w:eastAsia="仿宋_GB2312" w:cs="仿宋_GB2312"/>
          <w:color w:val="auto"/>
          <w:spacing w:val="4"/>
          <w:sz w:val="28"/>
          <w:szCs w:val="28"/>
        </w:rPr>
        <w:t>该区域主要水利工程有坝散水库</w:t>
      </w:r>
      <w:r>
        <w:rPr>
          <w:rFonts w:hint="eastAsia" w:ascii="Times New Roman" w:hAnsi="Times New Roman" w:eastAsia="仿宋_GB2312" w:cs="仿宋_GB2312"/>
          <w:color w:val="auto"/>
          <w:spacing w:val="4"/>
          <w:sz w:val="28"/>
          <w:szCs w:val="28"/>
        </w:rPr>
        <w:t>、</w:t>
      </w:r>
      <w:r>
        <w:rPr>
          <w:rFonts w:ascii="Times New Roman" w:hAnsi="Times New Roman" w:eastAsia="仿宋_GB2312" w:cs="仿宋_GB2312"/>
          <w:color w:val="auto"/>
          <w:spacing w:val="4"/>
          <w:sz w:val="28"/>
          <w:szCs w:val="28"/>
        </w:rPr>
        <w:t>那依水库</w:t>
      </w:r>
      <w:r>
        <w:rPr>
          <w:rFonts w:hint="eastAsia" w:ascii="Times New Roman" w:hAnsi="Times New Roman" w:eastAsia="仿宋_GB2312" w:cs="仿宋_GB2312"/>
          <w:color w:val="auto"/>
          <w:spacing w:val="4"/>
          <w:sz w:val="28"/>
          <w:szCs w:val="28"/>
        </w:rPr>
        <w:t>、长</w:t>
      </w:r>
      <w:r>
        <w:rPr>
          <w:rFonts w:ascii="Times New Roman" w:hAnsi="Times New Roman" w:eastAsia="仿宋_GB2312" w:cs="仿宋_GB2312"/>
          <w:color w:val="auto"/>
          <w:spacing w:val="4"/>
          <w:sz w:val="28"/>
          <w:szCs w:val="28"/>
        </w:rPr>
        <w:t>田坝水库</w:t>
      </w:r>
      <w:r>
        <w:rPr>
          <w:rFonts w:hint="eastAsia" w:ascii="Times New Roman" w:hAnsi="Times New Roman" w:eastAsia="仿宋_GB2312" w:cs="仿宋_GB2312"/>
          <w:color w:val="auto"/>
          <w:spacing w:val="4"/>
          <w:sz w:val="28"/>
          <w:szCs w:val="28"/>
        </w:rPr>
        <w:t>、曼酿水库等。该片区主要有</w:t>
      </w:r>
      <w:r>
        <w:rPr>
          <w:rFonts w:hint="eastAsia" w:ascii="Times New Roman" w:hAnsi="Times New Roman" w:eastAsia="仿宋_GB2312" w:cs="仿宋_GB2312"/>
          <w:sz w:val="28"/>
          <w:szCs w:val="28"/>
        </w:rPr>
        <w:t>生态雨林自然资源，可发展生态雨林亲水体验；但该片区大部分中小河流防洪能力不达标，山洪灾害频发，因此需重点提高河流防洪标准，加强山洪沟治理，保障区域人民的生命财产安全。</w:t>
      </w:r>
      <w:r>
        <w:rPr>
          <w:rFonts w:ascii="Times New Roman" w:hAnsi="Times New Roman" w:eastAsia="仿宋_GB2312" w:cs="仿宋_GB2312"/>
          <w:color w:val="auto"/>
          <w:spacing w:val="4"/>
          <w:sz w:val="28"/>
          <w:szCs w:val="28"/>
        </w:rPr>
        <w:t>本片区发展规划重点为：中小河流</w:t>
      </w:r>
      <w:r>
        <w:rPr>
          <w:rFonts w:hint="eastAsia" w:ascii="Times New Roman" w:hAnsi="Times New Roman" w:eastAsia="仿宋_GB2312" w:cs="仿宋_GB2312"/>
          <w:color w:val="auto"/>
          <w:spacing w:val="4"/>
          <w:sz w:val="28"/>
          <w:szCs w:val="28"/>
        </w:rPr>
        <w:t>防洪治理、山洪沟治理等。</w:t>
      </w:r>
      <w:r>
        <w:rPr>
          <w:rFonts w:ascii="Times New Roman" w:hAnsi="Times New Roman" w:eastAsia="仿宋_GB2312" w:cs="仿宋_GB2312"/>
          <w:sz w:val="28"/>
          <w:szCs w:val="28"/>
        </w:rPr>
        <w:t xml:space="preserve"> </w:t>
      </w:r>
    </w:p>
    <w:p>
      <w:pPr>
        <w:adjustRightInd w:val="0"/>
        <w:snapToGrid w:val="0"/>
        <w:ind w:firstLine="420" w:firstLineChars="200"/>
      </w:pPr>
    </w:p>
    <w:p>
      <w:pPr>
        <w:adjustRightInd w:val="0"/>
        <w:snapToGrid w:val="0"/>
        <w:rPr>
          <w:rFonts w:ascii="Times New Roman" w:hAnsi="Times New Roman" w:eastAsia="仿宋_GB2312" w:cs="仿宋_GB2312"/>
          <w:color w:val="auto"/>
          <w:spacing w:val="4"/>
          <w:sz w:val="28"/>
          <w:szCs w:val="28"/>
        </w:rPr>
      </w:pPr>
      <w:r>
        <w:rPr>
          <w:rFonts w:ascii="Times New Roman" w:hAnsi="Times New Roman" w:eastAsia="仿宋_GB2312" w:cs="仿宋_GB2312"/>
          <w:color w:val="auto"/>
          <w:spacing w:val="4"/>
          <w:sz w:val="28"/>
          <w:szCs w:val="28"/>
        </w:rPr>
        <w:drawing>
          <wp:inline distT="0" distB="0" distL="0" distR="0">
            <wp:extent cx="5537200" cy="7824470"/>
            <wp:effectExtent l="0" t="0" r="6350" b="5080"/>
            <wp:docPr id="7" name="图片 7" descr="C:\Users\aizhiqiang\Desktop\2 十四五规划分区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izhiqiang\Desktop\2 十四五规划分区示意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537200" cy="7824608"/>
                    </a:xfrm>
                    <a:prstGeom prst="rect">
                      <a:avLst/>
                    </a:prstGeom>
                    <a:noFill/>
                    <a:ln>
                      <a:noFill/>
                    </a:ln>
                  </pic:spPr>
                </pic:pic>
              </a:graphicData>
            </a:graphic>
          </wp:inline>
        </w:drawing>
      </w:r>
    </w:p>
    <w:p>
      <w:pPr>
        <w:pStyle w:val="13"/>
        <w:rPr>
          <w:rFonts w:eastAsia="仿宋_GB2312" w:cs="仿宋_GB2312"/>
          <w:spacing w:val="4"/>
          <w:sz w:val="28"/>
        </w:rPr>
      </w:pPr>
      <w:r>
        <w:rPr>
          <w:rFonts w:hint="eastAsia" w:eastAsia="仿宋_GB2312" w:cs="仿宋_GB2312"/>
          <w:spacing w:val="4"/>
          <w:sz w:val="28"/>
        </w:rPr>
        <w:t xml:space="preserve"> </w:t>
      </w: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 xml:space="preserve"> </w:t>
      </w:r>
      <w:r>
        <w:rPr>
          <w:rFonts w:hint="eastAsia" w:eastAsia="仿宋_GB2312" w:cs="仿宋_GB2312"/>
          <w:spacing w:val="4"/>
          <w:sz w:val="28"/>
        </w:rPr>
        <w:t>勐海县”十四五“水安全保障规划分区示意图</w:t>
      </w:r>
    </w:p>
    <w:p>
      <w:pPr>
        <w:pageBreakBefore/>
        <w:numPr>
          <w:ilvl w:val="0"/>
          <w:numId w:val="1"/>
        </w:numPr>
        <w:spacing w:before="400" w:line="360" w:lineRule="auto"/>
        <w:jc w:val="left"/>
        <w:outlineLvl w:val="0"/>
        <w:rPr>
          <w:rFonts w:ascii="Times New Roman" w:hAnsi="Times New Roman" w:eastAsia="黑体"/>
          <w:color w:val="auto"/>
          <w:kern w:val="44"/>
          <w:sz w:val="32"/>
          <w:szCs w:val="36"/>
        </w:rPr>
      </w:pPr>
      <w:bookmarkStart w:id="31" w:name="_Toc43754881"/>
      <w:bookmarkStart w:id="32" w:name="_Toc62461310"/>
      <w:r>
        <w:rPr>
          <w:rFonts w:ascii="Times New Roman" w:hAnsi="Times New Roman" w:eastAsia="黑体"/>
          <w:color w:val="auto"/>
          <w:kern w:val="44"/>
          <w:sz w:val="32"/>
          <w:szCs w:val="36"/>
        </w:rPr>
        <w:t>以水定需，全面推进节水型社会建设</w:t>
      </w:r>
      <w:bookmarkEnd w:id="31"/>
      <w:bookmarkEnd w:id="32"/>
    </w:p>
    <w:p>
      <w:pPr>
        <w:pStyle w:val="4"/>
      </w:pPr>
      <w:bookmarkStart w:id="33" w:name="_Toc62461311"/>
      <w:bookmarkStart w:id="34" w:name="_Toc43754882"/>
      <w:r>
        <w:t>落实最严格的水资源管理制度</w:t>
      </w:r>
      <w:bookmarkEnd w:id="33"/>
      <w:bookmarkEnd w:id="34"/>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严格用水总量指标管理。强化水资源承载能力刚性约束，严格实施水资源消耗总量和强度双控行动。根据勐海县用水总量控制指标，制定年度用水计划，对年度用水实行总量管理。将全县用水总量控制指标分配乡镇。落实《云南省重大规划水资源论证评估管理办法（试行）》，推动重大产业布局和各类开发区规划水资源论证；严格执行建设项目水资源论证和取水许可制度，对取用水总量已达到或超过控制指标的区域，暂停审批新增取水。</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严格用水强度指标管理。建立县级重点监控用水单位名单，加强取用水效率监督管理。严格用水定额和计划管理，强化行业和产品用水强度控制。到</w:t>
      </w:r>
      <w:r>
        <w:rPr>
          <w:rFonts w:ascii="Times New Roman" w:hAnsi="Times New Roman" w:eastAsia="仿宋_GB2312"/>
          <w:color w:val="auto"/>
          <w:spacing w:val="4"/>
          <w:sz w:val="28"/>
          <w:szCs w:val="28"/>
        </w:rPr>
        <w:t>2025年，万元GDP用水量和万元工业增加值用水量均下降</w:t>
      </w:r>
      <w:r>
        <w:rPr>
          <w:rFonts w:hint="eastAsia" w:ascii="Times New Roman" w:hAnsi="Times New Roman" w:eastAsia="仿宋_GB2312"/>
          <w:color w:val="auto"/>
          <w:spacing w:val="4"/>
          <w:sz w:val="28"/>
          <w:szCs w:val="28"/>
        </w:rPr>
        <w:t>1</w:t>
      </w:r>
      <w:r>
        <w:rPr>
          <w:rFonts w:ascii="Times New Roman" w:hAnsi="Times New Roman" w:eastAsia="仿宋_GB2312"/>
          <w:color w:val="auto"/>
          <w:spacing w:val="4"/>
          <w:sz w:val="28"/>
          <w:szCs w:val="28"/>
        </w:rPr>
        <w:t>0%，农田灌溉水有效利用系数提高到0.5</w:t>
      </w:r>
      <w:r>
        <w:rPr>
          <w:rFonts w:hint="eastAsia" w:ascii="Times New Roman" w:hAnsi="Times New Roman" w:eastAsia="仿宋_GB2312"/>
          <w:color w:val="auto"/>
          <w:spacing w:val="4"/>
          <w:sz w:val="28"/>
          <w:szCs w:val="28"/>
        </w:rPr>
        <w:t>2</w:t>
      </w:r>
      <w:r>
        <w:commentReference w:id="29"/>
      </w:r>
      <w:r>
        <w:rPr>
          <w:rFonts w:ascii="Times New Roman" w:hAnsi="Times New Roman" w:eastAsia="仿宋_GB2312"/>
          <w:color w:val="auto"/>
          <w:spacing w:val="4"/>
          <w:sz w:val="28"/>
          <w:szCs w:val="28"/>
        </w:rPr>
        <w:t>。</w:t>
      </w:r>
    </w:p>
    <w:p>
      <w:pPr>
        <w:pStyle w:val="4"/>
      </w:pPr>
      <w:bookmarkStart w:id="35" w:name="_Toc43754883"/>
      <w:bookmarkStart w:id="36" w:name="_Toc62461312"/>
      <w:r>
        <w:t>大力推进重点领域节水</w:t>
      </w:r>
      <w:bookmarkEnd w:id="35"/>
      <w:bookmarkEnd w:id="36"/>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加大农业节水力度。继续把农业节水作为主攻方向，加强农业用水管理，遏制粗放用水。推进勐海大型灌区现代化改造建设</w:t>
      </w:r>
      <w:r>
        <w:rPr>
          <w:rFonts w:hint="eastAsia" w:ascii="Times New Roman" w:hAnsi="Times New Roman" w:eastAsia="仿宋_GB2312"/>
          <w:color w:val="auto"/>
          <w:spacing w:val="4"/>
          <w:sz w:val="28"/>
          <w:szCs w:val="28"/>
        </w:rPr>
        <w:t>，提升自动化水平；加快</w:t>
      </w:r>
      <w:r>
        <w:rPr>
          <w:rFonts w:ascii="Times New Roman" w:hAnsi="Times New Roman" w:eastAsia="仿宋_GB2312"/>
          <w:color w:val="auto"/>
          <w:spacing w:val="4"/>
          <w:sz w:val="28"/>
          <w:szCs w:val="28"/>
        </w:rPr>
        <w:t>勐阿、勐往、勐满、打洛</w:t>
      </w:r>
      <w:r>
        <w:rPr>
          <w:rFonts w:hint="eastAsia" w:ascii="Times New Roman" w:hAnsi="Times New Roman" w:eastAsia="仿宋_GB2312"/>
          <w:color w:val="auto"/>
          <w:spacing w:val="4"/>
          <w:sz w:val="28"/>
          <w:szCs w:val="28"/>
        </w:rPr>
        <w:t>4个</w:t>
      </w:r>
      <w:r>
        <w:rPr>
          <w:rFonts w:ascii="Times New Roman" w:hAnsi="Times New Roman" w:eastAsia="仿宋_GB2312"/>
          <w:color w:val="auto"/>
          <w:spacing w:val="4"/>
          <w:sz w:val="28"/>
          <w:szCs w:val="28"/>
        </w:rPr>
        <w:t>中型灌区干支渠配套和节水设施建设，实现输水、用水全过程节水，提高农业灌溉用水效率，逐步降低农业用水比重，优化用水结构。积极推广微灌、喷灌、低压管灌等高效节水技术，发展高效节水灌溉。推行灌溉用水总量控制、定额管理，配套农业用水计量设施，加强灌区监测与管理信息系统建设，提高精准灌溉水平。规划实施勐海大型灌区</w:t>
      </w:r>
      <w:r>
        <w:rPr>
          <w:rFonts w:hint="eastAsia" w:ascii="Times New Roman" w:hAnsi="Times New Roman" w:eastAsia="仿宋_GB2312"/>
          <w:color w:val="auto"/>
          <w:spacing w:val="4"/>
          <w:sz w:val="28"/>
          <w:szCs w:val="28"/>
        </w:rPr>
        <w:t>，</w:t>
      </w:r>
      <w:commentRangeStart w:id="30"/>
      <w:r>
        <w:rPr>
          <w:rFonts w:ascii="Times New Roman" w:hAnsi="Times New Roman" w:eastAsia="仿宋_GB2312"/>
          <w:color w:val="auto"/>
          <w:spacing w:val="4"/>
          <w:sz w:val="28"/>
          <w:szCs w:val="28"/>
        </w:rPr>
        <w:t>勐阿、勐往、勐满、打洛中型灌区</w:t>
      </w:r>
      <w:commentRangeEnd w:id="30"/>
      <w:r>
        <w:rPr>
          <w:rStyle w:val="39"/>
          <w:rFonts w:ascii="Times New Roman" w:hAnsi="Times New Roman"/>
        </w:rPr>
        <w:commentReference w:id="30"/>
      </w:r>
      <w:r>
        <w:rPr>
          <w:rFonts w:ascii="Times New Roman" w:hAnsi="Times New Roman" w:eastAsia="仿宋_GB2312"/>
          <w:color w:val="auto"/>
          <w:spacing w:val="4"/>
          <w:sz w:val="28"/>
          <w:szCs w:val="28"/>
        </w:rPr>
        <w:t>续建配套与现代化改造项目。</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深入开展工业节水。调整工业产业结构，大力发展节水型产业，关停、改造污染严重、耗水量大的工业企业，加大对耗水量大产业的用水管理和限制。积极推进用水效率“领跑者”引领行动，加快高耗水工业行业节水技术改造，实施一批重点企业节水示范工程推动工业废水处理回用。大力推广工业通用节水工艺和技术，加快淘汰落后用水工艺和技术。强化重点用水单位监督巡查，开展节水型企业创建工作，鼓励产业园区统一供水、废水集中处理和循环利用，工业企业重复用水率达到95%以上。</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加强城镇节水。加快城乡供水管网建设和改造，降低公共供水管网漏损率，到2025年公共供水管网漏损率控制在1</w:t>
      </w:r>
      <w:r>
        <w:rPr>
          <w:rFonts w:hint="eastAsia" w:ascii="Times New Roman" w:hAnsi="Times New Roman" w:eastAsia="仿宋_GB2312"/>
          <w:color w:val="auto"/>
          <w:spacing w:val="4"/>
          <w:sz w:val="28"/>
          <w:szCs w:val="28"/>
        </w:rPr>
        <w:t>5</w:t>
      </w:r>
      <w:r>
        <w:rPr>
          <w:rFonts w:ascii="Times New Roman" w:hAnsi="Times New Roman" w:eastAsia="仿宋_GB2312"/>
          <w:color w:val="auto"/>
          <w:spacing w:val="4"/>
          <w:sz w:val="28"/>
          <w:szCs w:val="28"/>
        </w:rPr>
        <w:t>%以内。全面推广使用生活节水器具，加快换装公共建筑中不符合节水标准的用水器具，引导居民淘汰现有不符合节水标准的生活用水器具，城市节水器具普及率达到90%以上。城市供水“一户一表”改造实现全覆盖。推进服务业节水改造，对非人体接触用水强制实行循环利用。深入开展节水型单位和居民小区建设活动，推进机关、学校、医院、宾馆、家庭等用水节水管理。</w:t>
      </w:r>
    </w:p>
    <w:p>
      <w:pPr>
        <w:pStyle w:val="4"/>
      </w:pPr>
      <w:bookmarkStart w:id="37" w:name="_Toc62461313"/>
      <w:bookmarkStart w:id="38" w:name="_Toc43754884"/>
      <w:r>
        <w:t>建立健全节水激励机制</w:t>
      </w:r>
      <w:bookmarkEnd w:id="37"/>
      <w:bookmarkEnd w:id="38"/>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落实节水支持政策。合理制定水价，运用价格机制促进节约用水。按照用水定额标准开展取水户用水定额的考核，实行城市居民生活用水实行阶梯式计量水价及对城镇公共用水实行用水超水计划、超定额累进加价工作。进一步探索和建立定额用水管理的长效管理机制，充分运用经济激励政策，增强农民、企业、居民的节水意识。</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强化节水监督管理。建立完善建设项目水资源论证制度、取水许可制度和水资源有偿使用制度，制订相应的管理措施。加强取水许可年审，巩固计量设施安装成果，对未安装量水设施的取水单位，分期分批逐步安装量水设施。进一步完善网上办理取水许可证业务，完善取水许可审批前的公告制度，对所有取水许可进行审批前公告，并自觉接受群众的监督，真正体现公平、公开、公正，同时有利于行政法上利害关系的判断。强化各行业用水定额管理。严格建设项目节水设施与主体工程同时设计、同时施工、同时投产使用。建立重点监控用水单位名录，严厉查处违法取用水行为。</w:t>
      </w:r>
    </w:p>
    <w:p>
      <w:pPr>
        <w:pStyle w:val="4"/>
      </w:pPr>
      <w:bookmarkStart w:id="39" w:name="_Toc43754885"/>
      <w:bookmarkStart w:id="40" w:name="_Toc62461314"/>
      <w:r>
        <w:t>培养公民节水洁水意识</w:t>
      </w:r>
      <w:bookmarkEnd w:id="39"/>
      <w:bookmarkEnd w:id="40"/>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积极开展节水宣传教育。充分利用各种平台和媒体，加强县情水情教育，大力宣传节水和洁水观念，树立节约用水就是保护生态、保护水资源就是保护家园的意识，普及节水知识和技能。建设中小学节水教育社会实践基地。</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扩大社会参与。树立节约用水、人人有责的意识，营造全社会亲水、惜水、节水的良好氛围，推动全社会形成用水绿色消费自觉。发布节水政策，鼓励和引导公众增强节约水、爱护水的意识。广泛发挥社会组织与志愿者参与节水的积极作用，强化节水的社会监督作用。</w:t>
      </w:r>
    </w:p>
    <w:p>
      <w:pPr>
        <w:pageBreakBefore/>
        <w:numPr>
          <w:ilvl w:val="0"/>
          <w:numId w:val="1"/>
        </w:numPr>
        <w:spacing w:before="400" w:line="360" w:lineRule="auto"/>
        <w:jc w:val="left"/>
        <w:outlineLvl w:val="0"/>
        <w:rPr>
          <w:rFonts w:ascii="Times New Roman" w:hAnsi="Times New Roman" w:eastAsia="黑体"/>
          <w:color w:val="auto"/>
          <w:kern w:val="44"/>
          <w:sz w:val="32"/>
          <w:szCs w:val="36"/>
        </w:rPr>
      </w:pPr>
      <w:bookmarkStart w:id="41" w:name="_Toc43754886"/>
      <w:bookmarkStart w:id="42" w:name="_Toc62461315"/>
      <w:r>
        <w:rPr>
          <w:rFonts w:ascii="Times New Roman" w:hAnsi="Times New Roman" w:eastAsia="黑体"/>
          <w:color w:val="auto"/>
          <w:kern w:val="44"/>
          <w:sz w:val="32"/>
          <w:szCs w:val="36"/>
        </w:rPr>
        <w:t>防治并重，</w:t>
      </w:r>
      <w:bookmarkEnd w:id="41"/>
      <w:r>
        <w:rPr>
          <w:rFonts w:hint="eastAsia" w:ascii="Times New Roman" w:hAnsi="Times New Roman" w:eastAsia="黑体"/>
          <w:color w:val="auto"/>
          <w:kern w:val="44"/>
          <w:sz w:val="32"/>
          <w:szCs w:val="36"/>
        </w:rPr>
        <w:t>保障</w:t>
      </w:r>
      <w:r>
        <w:rPr>
          <w:rFonts w:ascii="Times New Roman" w:hAnsi="Times New Roman" w:eastAsia="黑体"/>
          <w:color w:val="auto"/>
          <w:kern w:val="44"/>
          <w:sz w:val="32"/>
          <w:szCs w:val="36"/>
        </w:rPr>
        <w:t>防洪安全</w:t>
      </w:r>
      <w:bookmarkEnd w:id="42"/>
    </w:p>
    <w:p>
      <w:pPr>
        <w:pStyle w:val="3"/>
        <w:ind w:firstLine="576"/>
      </w:pPr>
      <w:bookmarkStart w:id="43" w:name="_Toc43754887"/>
      <w:r>
        <w:t>贯彻“两个坚持、三个转变”的防灾减灾新理念，按照“消隐患、强弱项”的思路，全面实施防汛水利提升工程。强化流域防洪调度，整体提升洪涝灾害防御能力和超标准洪水应对能力，保障人民群众生命财产安全和经济社会健康稳定。</w:t>
      </w:r>
    </w:p>
    <w:bookmarkEnd w:id="43"/>
    <w:p>
      <w:pPr>
        <w:pStyle w:val="4"/>
      </w:pPr>
      <w:bookmarkStart w:id="44" w:name="_Toc62461316"/>
      <w:r>
        <w:t>中小河流治理</w:t>
      </w:r>
      <w:bookmarkEnd w:id="44"/>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对流域面积</w:t>
      </w:r>
      <w:r>
        <w:rPr>
          <w:rFonts w:ascii="Times New Roman" w:hAnsi="Times New Roman" w:eastAsia="仿宋_GB2312"/>
          <w:color w:val="auto"/>
          <w:spacing w:val="4"/>
          <w:sz w:val="28"/>
          <w:szCs w:val="28"/>
        </w:rPr>
        <w:t>3000km</w:t>
      </w:r>
      <w:r>
        <w:rPr>
          <w:rFonts w:ascii="Times New Roman" w:hAnsi="Times New Roman" w:eastAsia="仿宋_GB2312"/>
          <w:color w:val="auto"/>
          <w:spacing w:val="4"/>
          <w:sz w:val="28"/>
          <w:szCs w:val="28"/>
          <w:vertAlign w:val="superscript"/>
        </w:rPr>
        <w:t>2</w:t>
      </w:r>
      <w:r>
        <w:rPr>
          <w:rFonts w:ascii="Times New Roman" w:hAnsi="Times New Roman" w:eastAsia="仿宋_GB2312"/>
          <w:color w:val="auto"/>
          <w:spacing w:val="4"/>
          <w:sz w:val="28"/>
          <w:szCs w:val="28"/>
        </w:rPr>
        <w:t>以下，防洪标准低、防洪工程体系存在明显薄弱环节，受洪水威胁的人口较多、有需要保护的城镇以及有较大范围农田等保护对象的河段，以河道整治、河势控导、河道清淤疏浚、除涝、堤防护岸等工程措施为主，提高河段防洪标准，保护下游人口、耕地。“十四五”规划实施中小河流治理工程</w:t>
      </w:r>
      <w:r>
        <w:rPr>
          <w:rFonts w:hint="eastAsia" w:ascii="Times New Roman" w:hAnsi="Times New Roman" w:eastAsia="仿宋_GB2312"/>
          <w:color w:val="auto"/>
          <w:spacing w:val="4"/>
          <w:sz w:val="28"/>
          <w:szCs w:val="28"/>
        </w:rPr>
        <w:t>12</w:t>
      </w:r>
      <w:r>
        <w:rPr>
          <w:rFonts w:ascii="Times New Roman" w:hAnsi="Times New Roman" w:eastAsia="仿宋_GB2312"/>
          <w:color w:val="auto"/>
          <w:spacing w:val="4"/>
          <w:sz w:val="28"/>
          <w:szCs w:val="28"/>
        </w:rPr>
        <w:t>项，河道治理总长度</w:t>
      </w:r>
      <w:r>
        <w:rPr>
          <w:rFonts w:hint="eastAsia" w:ascii="Times New Roman" w:hAnsi="Times New Roman" w:eastAsia="仿宋_GB2312"/>
          <w:color w:val="auto"/>
          <w:spacing w:val="4"/>
          <w:sz w:val="28"/>
          <w:szCs w:val="28"/>
        </w:rPr>
        <w:t>83.14</w:t>
      </w:r>
      <w:r>
        <w:rPr>
          <w:rFonts w:ascii="Times New Roman" w:hAnsi="Times New Roman" w:eastAsia="仿宋_GB2312"/>
          <w:color w:val="auto"/>
          <w:spacing w:val="4"/>
          <w:sz w:val="28"/>
          <w:szCs w:val="28"/>
        </w:rPr>
        <w:t>km，总投资</w:t>
      </w:r>
      <w:r>
        <w:rPr>
          <w:rFonts w:hint="eastAsia" w:ascii="Times New Roman" w:hAnsi="Times New Roman" w:eastAsia="仿宋_GB2312"/>
          <w:color w:val="auto"/>
          <w:spacing w:val="4"/>
          <w:sz w:val="28"/>
          <w:szCs w:val="28"/>
        </w:rPr>
        <w:t>4.08亿</w:t>
      </w:r>
      <w:r>
        <w:rPr>
          <w:rFonts w:ascii="Times New Roman" w:hAnsi="Times New Roman" w:eastAsia="仿宋_GB2312"/>
          <w:color w:val="auto"/>
          <w:spacing w:val="4"/>
          <w:sz w:val="28"/>
          <w:szCs w:val="28"/>
        </w:rPr>
        <w:t>元</w:t>
      </w:r>
      <w:r>
        <w:rPr>
          <w:rFonts w:hint="eastAsia" w:ascii="Times New Roman" w:hAnsi="Times New Roman" w:eastAsia="仿宋_GB2312"/>
          <w:color w:val="auto"/>
          <w:spacing w:val="4"/>
          <w:sz w:val="28"/>
          <w:szCs w:val="28"/>
        </w:rPr>
        <w:t>。其中</w:t>
      </w:r>
      <w:r>
        <w:rPr>
          <w:rFonts w:ascii="Times New Roman" w:hAnsi="Times New Roman" w:eastAsia="仿宋_GB2312"/>
          <w:color w:val="auto"/>
          <w:spacing w:val="4"/>
          <w:sz w:val="28"/>
          <w:szCs w:val="28"/>
        </w:rPr>
        <w:t>“十四五”规划新增</w:t>
      </w:r>
      <w:r>
        <w:rPr>
          <w:rFonts w:hint="eastAsia" w:ascii="Times New Roman" w:hAnsi="Times New Roman" w:eastAsia="仿宋_GB2312"/>
          <w:color w:val="auto"/>
          <w:spacing w:val="4"/>
          <w:sz w:val="28"/>
          <w:szCs w:val="28"/>
        </w:rPr>
        <w:t>11</w:t>
      </w:r>
      <w:r>
        <w:rPr>
          <w:rFonts w:ascii="Times New Roman" w:hAnsi="Times New Roman" w:eastAsia="仿宋_GB2312"/>
          <w:color w:val="auto"/>
          <w:spacing w:val="4"/>
          <w:sz w:val="28"/>
          <w:szCs w:val="28"/>
        </w:rPr>
        <w:t>项，河道治理长度</w:t>
      </w:r>
      <w:r>
        <w:rPr>
          <w:rFonts w:hint="eastAsia" w:ascii="Times New Roman" w:hAnsi="Times New Roman" w:eastAsia="仿宋_GB2312"/>
          <w:color w:val="auto"/>
          <w:spacing w:val="4"/>
          <w:sz w:val="28"/>
          <w:szCs w:val="28"/>
        </w:rPr>
        <w:t>78.14</w:t>
      </w:r>
      <w:r>
        <w:rPr>
          <w:rFonts w:ascii="Times New Roman" w:hAnsi="Times New Roman" w:eastAsia="仿宋_GB2312"/>
          <w:color w:val="auto"/>
          <w:spacing w:val="4"/>
          <w:sz w:val="28"/>
          <w:szCs w:val="28"/>
        </w:rPr>
        <w:t>km</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治理工程均为农田防护类项目，治理保护人口</w:t>
      </w:r>
      <w:r>
        <w:rPr>
          <w:rFonts w:hint="eastAsia" w:ascii="Times New Roman" w:hAnsi="Times New Roman" w:eastAsia="仿宋_GB2312"/>
          <w:color w:val="auto"/>
          <w:spacing w:val="4"/>
          <w:sz w:val="28"/>
          <w:szCs w:val="28"/>
        </w:rPr>
        <w:t>3.13</w:t>
      </w:r>
      <w:r>
        <w:rPr>
          <w:rFonts w:ascii="Times New Roman" w:hAnsi="Times New Roman" w:eastAsia="仿宋_GB2312"/>
          <w:color w:val="auto"/>
          <w:spacing w:val="4"/>
          <w:sz w:val="28"/>
          <w:szCs w:val="28"/>
        </w:rPr>
        <w:t>万人、保护耕地</w:t>
      </w:r>
      <w:r>
        <w:rPr>
          <w:rFonts w:hint="eastAsia" w:ascii="Times New Roman" w:hAnsi="Times New Roman" w:eastAsia="仿宋_GB2312"/>
          <w:color w:val="auto"/>
          <w:spacing w:val="4"/>
          <w:sz w:val="28"/>
          <w:szCs w:val="28"/>
        </w:rPr>
        <w:t>5.56</w:t>
      </w:r>
      <w:r>
        <w:rPr>
          <w:rFonts w:ascii="Times New Roman" w:hAnsi="Times New Roman" w:eastAsia="仿宋_GB2312"/>
          <w:color w:val="auto"/>
          <w:spacing w:val="4"/>
          <w:sz w:val="28"/>
          <w:szCs w:val="28"/>
        </w:rPr>
        <w:t>万亩。</w:t>
      </w:r>
    </w:p>
    <w:p>
      <w:pPr>
        <w:pStyle w:val="4"/>
      </w:pPr>
      <w:bookmarkStart w:id="45" w:name="_Toc62461317"/>
      <w:r>
        <w:t>山洪灾害防治</w:t>
      </w:r>
      <w:bookmarkEnd w:id="45"/>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按照补齐短板、确有所需、突出重点、因地制宜的原则，继续加强山洪灾害防治建设，优化自动监测站网布局，扩大预报预警信息覆盖面，推动监测预警平台集约化应用，提升监测预警能力。按照职责分工开展群测群防体系建设，继续实施重点山洪沟防洪治理工作，全面提升防灾减灾成效，减轻山洪灾害损失。“十四五”规划对全县山洪灾害预警升级改造，并对</w:t>
      </w:r>
      <w:r>
        <w:rPr>
          <w:rFonts w:ascii="Times New Roman" w:hAnsi="Times New Roman" w:eastAsia="仿宋_GB2312"/>
          <w:color w:val="auto"/>
          <w:spacing w:val="4"/>
          <w:sz w:val="28"/>
          <w:szCs w:val="28"/>
        </w:rPr>
        <w:t>南吕河</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南涧河</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付腊河</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曼方河</w:t>
      </w:r>
      <w:r>
        <w:rPr>
          <w:rFonts w:hint="eastAsia" w:ascii="Times New Roman" w:hAnsi="Times New Roman" w:eastAsia="仿宋_GB2312"/>
          <w:color w:val="auto"/>
          <w:spacing w:val="4"/>
          <w:sz w:val="28"/>
          <w:szCs w:val="28"/>
        </w:rPr>
        <w:t>古实施山洪沟治理。规划山洪沟治理段总长20.6</w:t>
      </w:r>
      <w:r>
        <w:rPr>
          <w:rFonts w:ascii="Times New Roman" w:hAnsi="Times New Roman" w:eastAsia="仿宋_GB2312"/>
          <w:color w:val="auto"/>
          <w:spacing w:val="4"/>
          <w:sz w:val="28"/>
          <w:szCs w:val="28"/>
        </w:rPr>
        <w:t>km，总投资</w:t>
      </w:r>
      <w:r>
        <w:rPr>
          <w:rFonts w:hint="eastAsia" w:ascii="Times New Roman" w:hAnsi="Times New Roman" w:eastAsia="仿宋_GB2312"/>
          <w:color w:val="auto"/>
          <w:spacing w:val="4"/>
          <w:sz w:val="28"/>
          <w:szCs w:val="28"/>
        </w:rPr>
        <w:t>10700</w:t>
      </w:r>
      <w:r>
        <w:rPr>
          <w:rFonts w:ascii="Times New Roman" w:hAnsi="Times New Roman" w:eastAsia="仿宋_GB2312"/>
          <w:color w:val="auto"/>
          <w:spacing w:val="4"/>
          <w:sz w:val="28"/>
          <w:szCs w:val="28"/>
        </w:rPr>
        <w:t>万元</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规划山洪沟治理标准10年一遇，新建堤防和护岸长度</w:t>
      </w:r>
      <w:r>
        <w:rPr>
          <w:rFonts w:hint="eastAsia" w:ascii="Times New Roman" w:hAnsi="Times New Roman" w:eastAsia="仿宋_GB2312"/>
          <w:color w:val="auto"/>
          <w:spacing w:val="4"/>
          <w:sz w:val="28"/>
          <w:szCs w:val="28"/>
        </w:rPr>
        <w:t>41.2km，</w:t>
      </w:r>
      <w:r>
        <w:rPr>
          <w:rFonts w:ascii="Times New Roman" w:hAnsi="Times New Roman" w:eastAsia="仿宋_GB2312"/>
          <w:color w:val="auto"/>
          <w:spacing w:val="4"/>
          <w:sz w:val="28"/>
          <w:szCs w:val="28"/>
        </w:rPr>
        <w:t>保护人口</w:t>
      </w:r>
      <w:r>
        <w:rPr>
          <w:rFonts w:hint="eastAsia" w:ascii="Times New Roman" w:hAnsi="Times New Roman" w:eastAsia="仿宋_GB2312"/>
          <w:color w:val="auto"/>
          <w:spacing w:val="4"/>
          <w:sz w:val="28"/>
          <w:szCs w:val="28"/>
        </w:rPr>
        <w:t>1.06</w:t>
      </w:r>
      <w:r>
        <w:rPr>
          <w:rFonts w:ascii="Times New Roman" w:hAnsi="Times New Roman" w:eastAsia="仿宋_GB2312"/>
          <w:color w:val="auto"/>
          <w:spacing w:val="4"/>
          <w:sz w:val="28"/>
          <w:szCs w:val="28"/>
        </w:rPr>
        <w:t>万人，保护农田</w:t>
      </w:r>
      <w:r>
        <w:rPr>
          <w:rFonts w:hint="eastAsia" w:ascii="Times New Roman" w:hAnsi="Times New Roman" w:eastAsia="仿宋_GB2312"/>
          <w:color w:val="auto"/>
          <w:spacing w:val="4"/>
          <w:sz w:val="28"/>
          <w:szCs w:val="28"/>
        </w:rPr>
        <w:t>1.44</w:t>
      </w:r>
      <w:r>
        <w:rPr>
          <w:rFonts w:ascii="Times New Roman" w:hAnsi="Times New Roman" w:eastAsia="仿宋_GB2312"/>
          <w:color w:val="auto"/>
          <w:spacing w:val="4"/>
          <w:sz w:val="28"/>
          <w:szCs w:val="28"/>
        </w:rPr>
        <w:t>万亩。</w:t>
      </w:r>
    </w:p>
    <w:p>
      <w:pPr>
        <w:pStyle w:val="4"/>
      </w:pPr>
      <w:bookmarkStart w:id="46" w:name="_Toc62461318"/>
      <w:r>
        <w:t>病险水库</w:t>
      </w:r>
      <w:r>
        <w:rPr>
          <w:rFonts w:hint="eastAsia"/>
        </w:rPr>
        <w:t>（闸）</w:t>
      </w:r>
      <w:r>
        <w:t>除险加固</w:t>
      </w:r>
      <w:bookmarkEnd w:id="46"/>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坚持防治并重，开展水库和水闸工程设施的隐患排查和安全鉴定，实施水库、水闸除险加固。“</w:t>
      </w:r>
      <w:r>
        <w:rPr>
          <w:rFonts w:ascii="Times New Roman" w:hAnsi="Times New Roman" w:eastAsia="仿宋_GB2312"/>
          <w:color w:val="auto"/>
          <w:spacing w:val="4"/>
          <w:sz w:val="28"/>
          <w:szCs w:val="28"/>
        </w:rPr>
        <w:t>十四五</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规划</w:t>
      </w:r>
      <w:r>
        <w:rPr>
          <w:rFonts w:hint="eastAsia" w:ascii="Times New Roman" w:hAnsi="Times New Roman" w:eastAsia="仿宋_GB2312"/>
          <w:color w:val="auto"/>
          <w:spacing w:val="4"/>
          <w:sz w:val="28"/>
          <w:szCs w:val="28"/>
        </w:rPr>
        <w:t>新增</w:t>
      </w:r>
      <w:r>
        <w:rPr>
          <w:rFonts w:ascii="Times New Roman" w:hAnsi="Times New Roman" w:eastAsia="仿宋_GB2312"/>
          <w:color w:val="auto"/>
          <w:spacing w:val="4"/>
          <w:sz w:val="28"/>
          <w:szCs w:val="28"/>
        </w:rPr>
        <w:t>病险水库除险加固项目</w:t>
      </w:r>
      <w:r>
        <w:rPr>
          <w:rFonts w:hint="eastAsia" w:ascii="Times New Roman" w:hAnsi="Times New Roman" w:eastAsia="仿宋_GB2312"/>
          <w:color w:val="auto"/>
          <w:spacing w:val="4"/>
          <w:sz w:val="28"/>
          <w:szCs w:val="28"/>
        </w:rPr>
        <w:t>1</w:t>
      </w:r>
      <w:r>
        <w:rPr>
          <w:rFonts w:ascii="Times New Roman" w:hAnsi="Times New Roman" w:eastAsia="仿宋_GB2312"/>
          <w:color w:val="auto"/>
          <w:spacing w:val="4"/>
          <w:sz w:val="28"/>
          <w:szCs w:val="28"/>
        </w:rPr>
        <w:t>项</w:t>
      </w:r>
      <w:r>
        <w:rPr>
          <w:rFonts w:hint="eastAsia" w:ascii="Times New Roman" w:hAnsi="Times New Roman" w:eastAsia="仿宋_GB2312"/>
          <w:color w:val="auto"/>
          <w:spacing w:val="4"/>
          <w:sz w:val="28"/>
          <w:szCs w:val="28"/>
        </w:rPr>
        <w:t>（那达勐水库1项）、续建1项（批龙水库除险加固工程）、规划对30座小型病险水库和30座坝塘进行除险加固，</w:t>
      </w:r>
      <w:r>
        <w:rPr>
          <w:rFonts w:ascii="Times New Roman" w:hAnsi="Times New Roman" w:eastAsia="仿宋_GB2312"/>
          <w:color w:val="auto"/>
          <w:spacing w:val="4"/>
          <w:sz w:val="28"/>
          <w:szCs w:val="28"/>
        </w:rPr>
        <w:t>恢复和新增灌溉面积</w:t>
      </w:r>
      <w:r>
        <w:rPr>
          <w:rFonts w:hint="eastAsia" w:ascii="Times New Roman" w:hAnsi="Times New Roman" w:eastAsia="仿宋_GB2312"/>
          <w:color w:val="auto"/>
          <w:spacing w:val="4"/>
          <w:sz w:val="28"/>
          <w:szCs w:val="28"/>
        </w:rPr>
        <w:t>14</w:t>
      </w:r>
      <w:r>
        <w:rPr>
          <w:rFonts w:ascii="Times New Roman" w:hAnsi="Times New Roman" w:eastAsia="仿宋_GB2312"/>
          <w:color w:val="auto"/>
          <w:spacing w:val="4"/>
          <w:sz w:val="28"/>
          <w:szCs w:val="28"/>
        </w:rPr>
        <w:t>万亩，解除下游威胁人口</w:t>
      </w:r>
      <w:r>
        <w:rPr>
          <w:rFonts w:hint="eastAsia" w:ascii="Times New Roman" w:hAnsi="Times New Roman" w:eastAsia="仿宋_GB2312"/>
          <w:color w:val="auto"/>
          <w:spacing w:val="4"/>
          <w:sz w:val="28"/>
          <w:szCs w:val="28"/>
        </w:rPr>
        <w:t>11.36</w:t>
      </w:r>
      <w:r>
        <w:rPr>
          <w:rFonts w:ascii="Times New Roman" w:hAnsi="Times New Roman" w:eastAsia="仿宋_GB2312"/>
          <w:color w:val="auto"/>
          <w:spacing w:val="4"/>
          <w:sz w:val="28"/>
          <w:szCs w:val="28"/>
        </w:rPr>
        <w:t>万人、耕地</w:t>
      </w:r>
      <w:r>
        <w:rPr>
          <w:rFonts w:hint="eastAsia" w:ascii="Times New Roman" w:hAnsi="Times New Roman" w:eastAsia="仿宋_GB2312"/>
          <w:color w:val="auto"/>
          <w:spacing w:val="4"/>
          <w:sz w:val="28"/>
          <w:szCs w:val="28"/>
        </w:rPr>
        <w:t>1</w:t>
      </w:r>
      <w:r>
        <w:rPr>
          <w:rFonts w:ascii="Times New Roman" w:hAnsi="Times New Roman" w:eastAsia="仿宋_GB2312"/>
          <w:color w:val="auto"/>
          <w:spacing w:val="4"/>
          <w:sz w:val="28"/>
          <w:szCs w:val="28"/>
        </w:rPr>
        <w:t>1.6</w:t>
      </w:r>
      <w:r>
        <w:rPr>
          <w:rFonts w:hint="eastAsia" w:ascii="Times New Roman" w:hAnsi="Times New Roman" w:eastAsia="仿宋_GB2312"/>
          <w:color w:val="auto"/>
          <w:spacing w:val="4"/>
          <w:sz w:val="28"/>
          <w:szCs w:val="28"/>
        </w:rPr>
        <w:t>4</w:t>
      </w:r>
      <w:r>
        <w:rPr>
          <w:rFonts w:ascii="Times New Roman" w:hAnsi="Times New Roman" w:eastAsia="仿宋_GB2312"/>
          <w:color w:val="auto"/>
          <w:spacing w:val="4"/>
          <w:sz w:val="28"/>
          <w:szCs w:val="28"/>
        </w:rPr>
        <w:t>万亩</w:t>
      </w:r>
      <w:r>
        <w:rPr>
          <w:rFonts w:hint="eastAsia" w:ascii="Times New Roman" w:hAnsi="Times New Roman" w:eastAsia="仿宋_GB2312"/>
          <w:color w:val="auto"/>
          <w:spacing w:val="4"/>
          <w:sz w:val="28"/>
          <w:szCs w:val="28"/>
        </w:rPr>
        <w:t>；规划实施病险</w:t>
      </w:r>
      <w:r>
        <w:rPr>
          <w:rFonts w:ascii="Times New Roman" w:hAnsi="Times New Roman" w:eastAsia="仿宋_GB2312"/>
          <w:color w:val="auto"/>
          <w:spacing w:val="4"/>
          <w:sz w:val="28"/>
          <w:szCs w:val="28"/>
        </w:rPr>
        <w:t>水闸除险加固项目</w:t>
      </w:r>
      <w:r>
        <w:rPr>
          <w:rFonts w:hint="eastAsia" w:ascii="Times New Roman" w:hAnsi="Times New Roman" w:eastAsia="仿宋_GB2312"/>
          <w:color w:val="auto"/>
          <w:spacing w:val="4"/>
          <w:sz w:val="28"/>
          <w:szCs w:val="28"/>
        </w:rPr>
        <w:t>15项（其中中型水闸5项）</w:t>
      </w:r>
      <w:r>
        <w:rPr>
          <w:rFonts w:ascii="Times New Roman" w:hAnsi="Times New Roman" w:eastAsia="仿宋_GB2312"/>
          <w:color w:val="auto"/>
          <w:spacing w:val="4"/>
          <w:sz w:val="28"/>
          <w:szCs w:val="28"/>
        </w:rPr>
        <w:t>，恢复和新增灌溉面积</w:t>
      </w:r>
      <w:r>
        <w:rPr>
          <w:rFonts w:hint="eastAsia" w:ascii="Times New Roman" w:hAnsi="Times New Roman" w:eastAsia="仿宋_GB2312"/>
          <w:color w:val="auto"/>
          <w:spacing w:val="4"/>
          <w:sz w:val="28"/>
          <w:szCs w:val="28"/>
        </w:rPr>
        <w:t>7.5</w:t>
      </w:r>
      <w:r>
        <w:rPr>
          <w:rFonts w:ascii="Times New Roman" w:hAnsi="Times New Roman" w:eastAsia="仿宋_GB2312"/>
          <w:color w:val="auto"/>
          <w:spacing w:val="4"/>
          <w:sz w:val="28"/>
          <w:szCs w:val="28"/>
        </w:rPr>
        <w:t>万亩，解除下游威胁人口</w:t>
      </w:r>
      <w:r>
        <w:rPr>
          <w:rFonts w:hint="eastAsia" w:ascii="Times New Roman" w:hAnsi="Times New Roman" w:eastAsia="仿宋_GB2312"/>
          <w:color w:val="auto"/>
          <w:spacing w:val="4"/>
          <w:sz w:val="28"/>
          <w:szCs w:val="28"/>
        </w:rPr>
        <w:t>6.44</w:t>
      </w:r>
      <w:r>
        <w:rPr>
          <w:rFonts w:ascii="Times New Roman" w:hAnsi="Times New Roman" w:eastAsia="仿宋_GB2312"/>
          <w:color w:val="auto"/>
          <w:spacing w:val="4"/>
          <w:sz w:val="28"/>
          <w:szCs w:val="28"/>
        </w:rPr>
        <w:t>万人、耕地</w:t>
      </w:r>
      <w:r>
        <w:rPr>
          <w:rFonts w:hint="eastAsia" w:ascii="Times New Roman" w:hAnsi="Times New Roman" w:eastAsia="仿宋_GB2312"/>
          <w:color w:val="auto"/>
          <w:spacing w:val="4"/>
          <w:sz w:val="28"/>
          <w:szCs w:val="28"/>
        </w:rPr>
        <w:t>18.67</w:t>
      </w:r>
      <w:r>
        <w:rPr>
          <w:rFonts w:ascii="Times New Roman" w:hAnsi="Times New Roman" w:eastAsia="仿宋_GB2312"/>
          <w:color w:val="auto"/>
          <w:spacing w:val="4"/>
          <w:sz w:val="28"/>
          <w:szCs w:val="28"/>
        </w:rPr>
        <w:t>万亩。病险水库（闸）除险加固总投资</w:t>
      </w:r>
      <w:r>
        <w:rPr>
          <w:rFonts w:hint="eastAsia" w:ascii="Times New Roman" w:hAnsi="Times New Roman" w:eastAsia="仿宋_GB2312"/>
          <w:color w:val="auto"/>
          <w:spacing w:val="4"/>
          <w:sz w:val="28"/>
          <w:szCs w:val="28"/>
        </w:rPr>
        <w:t>38386</w:t>
      </w:r>
      <w:r>
        <w:rPr>
          <w:rFonts w:ascii="Times New Roman" w:hAnsi="Times New Roman" w:eastAsia="仿宋_GB2312"/>
          <w:color w:val="auto"/>
          <w:spacing w:val="4"/>
          <w:sz w:val="28"/>
          <w:szCs w:val="28"/>
        </w:rPr>
        <w:t>万元。</w:t>
      </w:r>
    </w:p>
    <w:p>
      <w:pPr>
        <w:pStyle w:val="62"/>
        <w:numPr>
          <w:ilvl w:val="0"/>
          <w:numId w:val="3"/>
        </w:numPr>
        <w:spacing w:line="560" w:lineRule="exact"/>
        <w:ind w:firstLineChars="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那达勐水库</w:t>
      </w:r>
    </w:p>
    <w:p>
      <w:pPr>
        <w:spacing w:line="560" w:lineRule="exact"/>
        <w:ind w:firstLine="576" w:firstLineChars="200"/>
        <w:rPr>
          <w:rFonts w:ascii="Times New Roman" w:hAnsi="Times New Roman" w:eastAsia="仿宋_GB2312"/>
          <w:color w:val="auto"/>
          <w:spacing w:val="4"/>
          <w:sz w:val="28"/>
          <w:szCs w:val="28"/>
          <w:lang w:val="en-IE"/>
        </w:rPr>
      </w:pPr>
      <w:commentRangeStart w:id="31"/>
      <w:r>
        <w:rPr>
          <w:rFonts w:hint="eastAsia" w:ascii="Times New Roman" w:hAnsi="Times New Roman" w:eastAsia="仿宋_GB2312"/>
          <w:color w:val="auto"/>
          <w:spacing w:val="4"/>
          <w:sz w:val="28"/>
          <w:szCs w:val="28"/>
          <w:lang w:val="en-IE"/>
        </w:rPr>
        <w:t>那达勐</w:t>
      </w:r>
      <w:commentRangeEnd w:id="31"/>
      <w:r>
        <w:rPr>
          <w:rStyle w:val="39"/>
        </w:rPr>
        <w:commentReference w:id="31"/>
      </w:r>
      <w:r>
        <w:rPr>
          <w:rFonts w:hint="eastAsia" w:ascii="Times New Roman" w:hAnsi="Times New Roman" w:eastAsia="仿宋_GB2312"/>
          <w:color w:val="auto"/>
          <w:spacing w:val="4"/>
          <w:sz w:val="28"/>
          <w:szCs w:val="28"/>
          <w:lang w:val="en-IE"/>
        </w:rPr>
        <w:t>水库位于西双版纳州勐海县勐混坝东南面的流沙河支流南开河上游右支南溪河上，坝址控制径流面积61.8km</w:t>
      </w:r>
      <w:r>
        <w:rPr>
          <w:rFonts w:hint="eastAsia" w:ascii="Times New Roman" w:hAnsi="Times New Roman" w:eastAsia="仿宋_GB2312"/>
          <w:color w:val="auto"/>
          <w:spacing w:val="4"/>
          <w:sz w:val="28"/>
          <w:szCs w:val="28"/>
          <w:vertAlign w:val="superscript"/>
          <w:lang w:val="en-IE"/>
        </w:rPr>
        <w:t>2</w:t>
      </w:r>
      <w:r>
        <w:rPr>
          <w:rFonts w:hint="eastAsia" w:ascii="Times New Roman" w:hAnsi="Times New Roman" w:eastAsia="仿宋_GB2312"/>
          <w:color w:val="auto"/>
          <w:spacing w:val="4"/>
          <w:sz w:val="28"/>
          <w:szCs w:val="28"/>
          <w:lang w:val="en-IE"/>
        </w:rPr>
        <w:t>，是集防洪、抗旱、发电供水、农田灌溉供水、生活供水为一体的中型水库。</w:t>
      </w:r>
      <w:r>
        <w:rPr>
          <w:rFonts w:hint="eastAsia" w:ascii="Times New Roman" w:hAnsi="Times New Roman" w:eastAsia="仿宋_GB2312"/>
          <w:color w:val="auto"/>
          <w:spacing w:val="4"/>
          <w:sz w:val="28"/>
          <w:szCs w:val="28"/>
        </w:rPr>
        <w:t>水库</w:t>
      </w:r>
      <w:r>
        <w:rPr>
          <w:rFonts w:hint="eastAsia" w:ascii="Times New Roman" w:hAnsi="Times New Roman" w:eastAsia="仿宋_GB2312"/>
          <w:color w:val="auto"/>
          <w:spacing w:val="4"/>
          <w:sz w:val="28"/>
          <w:szCs w:val="28"/>
          <w:lang w:val="en-IE"/>
        </w:rPr>
        <w:t>总库容4943万m</w:t>
      </w:r>
      <w:r>
        <w:rPr>
          <w:rFonts w:hint="eastAsia" w:cs="宋体"/>
          <w:color w:val="auto"/>
          <w:spacing w:val="4"/>
          <w:sz w:val="28"/>
          <w:szCs w:val="28"/>
          <w:lang w:val="en-IE"/>
        </w:rPr>
        <w:t>³</w:t>
      </w:r>
      <w:r>
        <w:rPr>
          <w:rFonts w:hint="eastAsia" w:ascii="仿宋_GB2312" w:hAnsi="仿宋_GB2312" w:eastAsia="仿宋_GB2312" w:cs="仿宋_GB2312"/>
          <w:color w:val="auto"/>
          <w:spacing w:val="4"/>
          <w:sz w:val="28"/>
          <w:szCs w:val="28"/>
          <w:lang w:val="en-IE"/>
        </w:rPr>
        <w:t>，兴利库容</w:t>
      </w:r>
      <w:r>
        <w:rPr>
          <w:rFonts w:hint="eastAsia" w:ascii="Times New Roman" w:hAnsi="Times New Roman" w:eastAsia="仿宋_GB2312"/>
          <w:color w:val="auto"/>
          <w:spacing w:val="4"/>
          <w:sz w:val="28"/>
          <w:szCs w:val="28"/>
          <w:lang w:val="en-IE"/>
        </w:rPr>
        <w:t>4643万</w:t>
      </w:r>
      <w:r>
        <w:rPr>
          <w:rFonts w:hint="eastAsia" w:ascii="Times New Roman" w:hAnsi="Times New Roman" w:eastAsia="仿宋_GB2312"/>
          <w:color w:val="auto"/>
          <w:spacing w:val="4"/>
          <w:sz w:val="28"/>
          <w:szCs w:val="28"/>
        </w:rPr>
        <w:t>m</w:t>
      </w:r>
      <w:r>
        <w:rPr>
          <w:rFonts w:hint="eastAsia" w:cs="宋体"/>
          <w:color w:val="auto"/>
          <w:spacing w:val="4"/>
          <w:sz w:val="28"/>
          <w:szCs w:val="28"/>
        </w:rPr>
        <w:t>³</w:t>
      </w:r>
      <w:r>
        <w:rPr>
          <w:rFonts w:hint="eastAsia" w:ascii="Times New Roman" w:hAnsi="Times New Roman" w:eastAsia="仿宋_GB2312"/>
          <w:color w:val="auto"/>
          <w:spacing w:val="4"/>
          <w:sz w:val="28"/>
          <w:szCs w:val="28"/>
          <w:lang w:val="en-IE"/>
        </w:rPr>
        <w:t>，死库容73万</w:t>
      </w:r>
      <w:r>
        <w:rPr>
          <w:rFonts w:hint="eastAsia" w:ascii="Times New Roman" w:hAnsi="Times New Roman" w:eastAsia="仿宋_GB2312"/>
          <w:color w:val="auto"/>
          <w:spacing w:val="4"/>
          <w:sz w:val="28"/>
          <w:szCs w:val="28"/>
        </w:rPr>
        <w:t>m</w:t>
      </w:r>
      <w:r>
        <w:rPr>
          <w:rFonts w:hint="eastAsia" w:cs="宋体"/>
          <w:color w:val="auto"/>
          <w:spacing w:val="4"/>
          <w:sz w:val="28"/>
          <w:szCs w:val="28"/>
        </w:rPr>
        <w:t>³</w:t>
      </w:r>
      <w:r>
        <w:rPr>
          <w:rFonts w:hint="eastAsia" w:ascii="Times New Roman" w:hAnsi="Times New Roman" w:eastAsia="仿宋_GB2312"/>
          <w:color w:val="auto"/>
          <w:spacing w:val="4"/>
          <w:sz w:val="28"/>
          <w:szCs w:val="28"/>
          <w:lang w:val="en-IE"/>
        </w:rPr>
        <w:t>，正常蓄水位1528.62m，汛期限制水位1527.68m，设计洪水位1527.96m，校核洪水位1528.62m。</w:t>
      </w:r>
      <w:r>
        <w:rPr>
          <w:rFonts w:hint="eastAsia" w:ascii="仿宋_GB2312" w:hAnsi="仿宋_GB2312" w:eastAsia="仿宋_GB2312" w:cs="仿宋_GB2312"/>
          <w:color w:val="auto"/>
          <w:spacing w:val="4"/>
          <w:sz w:val="28"/>
          <w:szCs w:val="28"/>
          <w:lang w:val="en-IE"/>
        </w:rPr>
        <w:t>水库</w:t>
      </w:r>
      <w:r>
        <w:rPr>
          <w:rFonts w:hint="eastAsia" w:ascii="Times New Roman" w:hAnsi="Times New Roman" w:eastAsia="仿宋_GB2312"/>
          <w:color w:val="auto"/>
          <w:spacing w:val="4"/>
          <w:sz w:val="28"/>
          <w:szCs w:val="28"/>
          <w:lang w:val="en-IE"/>
        </w:rPr>
        <w:t>年蓄水量4500万m</w:t>
      </w:r>
      <w:r>
        <w:rPr>
          <w:rFonts w:hint="eastAsia" w:cs="宋体"/>
          <w:color w:val="auto"/>
          <w:spacing w:val="4"/>
          <w:sz w:val="28"/>
          <w:szCs w:val="28"/>
          <w:lang w:val="en-IE"/>
        </w:rPr>
        <w:t>³</w:t>
      </w:r>
      <w:r>
        <w:rPr>
          <w:rFonts w:hint="eastAsia" w:ascii="仿宋_GB2312" w:hAnsi="仿宋_GB2312" w:eastAsia="仿宋_GB2312" w:cs="仿宋_GB2312"/>
          <w:color w:val="auto"/>
          <w:spacing w:val="4"/>
          <w:sz w:val="28"/>
          <w:szCs w:val="28"/>
          <w:lang w:val="en-IE"/>
        </w:rPr>
        <w:t>，</w:t>
      </w:r>
      <w:r>
        <w:rPr>
          <w:rFonts w:hint="eastAsia" w:ascii="Times New Roman" w:hAnsi="Times New Roman" w:eastAsia="仿宋_GB2312"/>
          <w:color w:val="auto"/>
          <w:spacing w:val="4"/>
          <w:sz w:val="28"/>
          <w:szCs w:val="28"/>
          <w:lang w:val="en-IE"/>
        </w:rPr>
        <w:t>设计灌溉面积7.5万亩。该水库存在坝体渗漏、溢洪道过流能力不足，涵洞闸门损坏等问题，需进行大坝培厚，金属结构更换，输水隧洞和溢洪道裂缝处理，确保工程运行安全。</w:t>
      </w:r>
    </w:p>
    <w:p>
      <w:pPr>
        <w:pStyle w:val="62"/>
        <w:numPr>
          <w:ilvl w:val="0"/>
          <w:numId w:val="3"/>
        </w:numPr>
        <w:spacing w:line="560" w:lineRule="exact"/>
        <w:ind w:firstLineChars="0"/>
        <w:rPr>
          <w:rFonts w:ascii="Times New Roman" w:hAnsi="Times New Roman" w:eastAsia="仿宋_GB2312"/>
          <w:color w:val="auto"/>
          <w:spacing w:val="4"/>
          <w:sz w:val="28"/>
          <w:szCs w:val="28"/>
          <w:lang w:val="en-IE"/>
        </w:rPr>
      </w:pPr>
      <w:r>
        <w:rPr>
          <w:rFonts w:hint="eastAsia" w:ascii="Times New Roman" w:hAnsi="Times New Roman" w:eastAsia="仿宋_GB2312"/>
          <w:color w:val="auto"/>
          <w:spacing w:val="4"/>
          <w:sz w:val="28"/>
          <w:szCs w:val="28"/>
          <w:lang w:val="en-IE"/>
        </w:rPr>
        <w:t>批龙水库</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批龙水库为</w:t>
      </w:r>
      <w:r>
        <w:rPr>
          <w:rFonts w:ascii="Times New Roman" w:hAnsi="Times New Roman" w:eastAsia="仿宋_GB2312"/>
          <w:color w:val="auto"/>
          <w:spacing w:val="4"/>
          <w:sz w:val="28"/>
          <w:szCs w:val="28"/>
        </w:rPr>
        <w:t>小（</w:t>
      </w:r>
      <w:r>
        <w:rPr>
          <w:rFonts w:hint="eastAsia" w:ascii="Times New Roman" w:hAnsi="Times New Roman" w:eastAsia="仿宋_GB2312"/>
          <w:color w:val="auto"/>
          <w:spacing w:val="4"/>
          <w:sz w:val="28"/>
          <w:szCs w:val="28"/>
        </w:rPr>
        <w:t>一</w:t>
      </w:r>
      <w:r>
        <w:rPr>
          <w:rFonts w:ascii="Times New Roman" w:hAnsi="Times New Roman" w:eastAsia="仿宋_GB2312"/>
          <w:color w:val="auto"/>
          <w:spacing w:val="4"/>
          <w:sz w:val="28"/>
          <w:szCs w:val="28"/>
        </w:rPr>
        <w:t>）型水库</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水库存在防洪安全问题</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需进行除险加固</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该</w:t>
      </w:r>
      <w:r>
        <w:rPr>
          <w:rFonts w:hint="eastAsia" w:ascii="Times New Roman" w:hAnsi="Times New Roman" w:eastAsia="仿宋_GB2312"/>
          <w:color w:val="auto"/>
          <w:spacing w:val="4"/>
          <w:sz w:val="28"/>
          <w:szCs w:val="28"/>
        </w:rPr>
        <w:t>项目总投资386.3万元，于</w:t>
      </w:r>
      <w:r>
        <w:rPr>
          <w:rFonts w:ascii="Times New Roman" w:hAnsi="Times New Roman" w:eastAsia="仿宋_GB2312"/>
          <w:color w:val="auto"/>
          <w:spacing w:val="4"/>
          <w:sz w:val="28"/>
          <w:szCs w:val="28"/>
        </w:rPr>
        <w:t>201</w:t>
      </w:r>
      <w:r>
        <w:rPr>
          <w:rFonts w:hint="eastAsia" w:ascii="Times New Roman" w:hAnsi="Times New Roman" w:eastAsia="仿宋_GB2312"/>
          <w:color w:val="auto"/>
          <w:spacing w:val="4"/>
          <w:sz w:val="28"/>
          <w:szCs w:val="28"/>
        </w:rPr>
        <w:t>9</w:t>
      </w:r>
      <w:r>
        <w:rPr>
          <w:rFonts w:ascii="Times New Roman" w:hAnsi="Times New Roman" w:eastAsia="仿宋_GB2312"/>
          <w:color w:val="auto"/>
          <w:spacing w:val="4"/>
          <w:sz w:val="28"/>
          <w:szCs w:val="28"/>
        </w:rPr>
        <w:t>年</w:t>
      </w:r>
      <w:r>
        <w:rPr>
          <w:rFonts w:hint="eastAsia" w:ascii="Times New Roman" w:hAnsi="Times New Roman" w:eastAsia="仿宋_GB2312"/>
          <w:color w:val="auto"/>
          <w:spacing w:val="4"/>
          <w:sz w:val="28"/>
          <w:szCs w:val="28"/>
        </w:rPr>
        <w:t>11月</w:t>
      </w:r>
      <w:r>
        <w:rPr>
          <w:rFonts w:ascii="Times New Roman" w:hAnsi="Times New Roman" w:eastAsia="仿宋_GB2312"/>
          <w:color w:val="auto"/>
          <w:spacing w:val="4"/>
          <w:sz w:val="28"/>
          <w:szCs w:val="28"/>
        </w:rPr>
        <w:t>开工</w:t>
      </w:r>
      <w:r>
        <w:rPr>
          <w:rFonts w:hint="eastAsia" w:ascii="Times New Roman" w:hAnsi="Times New Roman" w:eastAsia="仿宋_GB2312"/>
          <w:color w:val="auto"/>
          <w:spacing w:val="4"/>
          <w:sz w:val="28"/>
          <w:szCs w:val="28"/>
        </w:rPr>
        <w:t>建设</w:t>
      </w:r>
      <w:r>
        <w:rPr>
          <w:rFonts w:ascii="Times New Roman" w:hAnsi="Times New Roman" w:eastAsia="仿宋_GB2312"/>
          <w:color w:val="auto"/>
          <w:spacing w:val="4"/>
          <w:sz w:val="28"/>
          <w:szCs w:val="28"/>
        </w:rPr>
        <w:t>。</w:t>
      </w:r>
    </w:p>
    <w:p>
      <w:pPr>
        <w:pStyle w:val="62"/>
        <w:numPr>
          <w:ilvl w:val="0"/>
          <w:numId w:val="3"/>
        </w:numPr>
        <w:spacing w:line="560" w:lineRule="exact"/>
        <w:ind w:firstLineChars="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病险水闸</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规划对曼贺龙水闸、十二公里水闸两座水闸实施拆除重建，其他水闸根据情况对闸门进行修补或更换。</w:t>
      </w:r>
    </w:p>
    <w:p>
      <w:pPr>
        <w:pStyle w:val="13"/>
        <w:rPr>
          <w:szCs w:val="24"/>
        </w:rP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4.3</w:t>
      </w:r>
      <w:r>
        <w:fldChar w:fldCharType="end"/>
      </w:r>
      <w:r>
        <w:t>.</w:t>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w:t>
      </w:r>
      <w:r>
        <w:rPr>
          <w:szCs w:val="24"/>
        </w:rPr>
        <w:t>勐海县“十四五”水安全保障防洪工程项目表</w:t>
      </w:r>
    </w:p>
    <w:tbl>
      <w:tblPr>
        <w:tblStyle w:val="32"/>
        <w:tblW w:w="9172" w:type="dxa"/>
        <w:tblInd w:w="0" w:type="dxa"/>
        <w:tblLayout w:type="fixed"/>
        <w:tblCellMar>
          <w:top w:w="0" w:type="dxa"/>
          <w:left w:w="108" w:type="dxa"/>
          <w:bottom w:w="0" w:type="dxa"/>
          <w:right w:w="108" w:type="dxa"/>
        </w:tblCellMar>
      </w:tblPr>
      <w:tblGrid>
        <w:gridCol w:w="807"/>
        <w:gridCol w:w="570"/>
        <w:gridCol w:w="4212"/>
        <w:gridCol w:w="980"/>
        <w:gridCol w:w="752"/>
        <w:gridCol w:w="926"/>
        <w:gridCol w:w="925"/>
      </w:tblGrid>
      <w:tr>
        <w:tblPrEx>
          <w:tblLayout w:type="fixed"/>
          <w:tblCellMar>
            <w:top w:w="0" w:type="dxa"/>
            <w:left w:w="108" w:type="dxa"/>
            <w:bottom w:w="0" w:type="dxa"/>
            <w:right w:w="108" w:type="dxa"/>
          </w:tblCellMar>
        </w:tblPrEx>
        <w:trPr>
          <w:trHeight w:val="288" w:hRule="atLeast"/>
          <w:tblHeader/>
        </w:trPr>
        <w:tc>
          <w:tcPr>
            <w:tcW w:w="8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rPr>
            </w:pPr>
            <w:r>
              <w:rPr>
                <w:rFonts w:hint="eastAsia" w:ascii="仿宋" w:hAnsi="仿宋" w:eastAsia="仿宋"/>
                <w:kern w:val="0"/>
                <w:sz w:val="20"/>
              </w:rPr>
              <w:t>类别</w:t>
            </w:r>
          </w:p>
        </w:tc>
        <w:tc>
          <w:tcPr>
            <w:tcW w:w="57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rPr>
            </w:pPr>
            <w:r>
              <w:rPr>
                <w:rFonts w:hint="eastAsia" w:ascii="仿宋" w:hAnsi="仿宋" w:eastAsia="仿宋"/>
                <w:kern w:val="0"/>
                <w:sz w:val="20"/>
              </w:rPr>
              <w:t>序号</w:t>
            </w:r>
          </w:p>
        </w:tc>
        <w:tc>
          <w:tcPr>
            <w:tcW w:w="4212"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Times New Roman" w:hAnsi="Times New Roman"/>
                <w:kern w:val="0"/>
                <w:sz w:val="20"/>
              </w:rPr>
            </w:pPr>
            <w:r>
              <w:rPr>
                <w:rFonts w:hint="eastAsia" w:ascii="仿宋" w:hAnsi="仿宋" w:eastAsia="仿宋"/>
                <w:kern w:val="0"/>
                <w:sz w:val="20"/>
              </w:rPr>
              <w:t>工程名称</w:t>
            </w:r>
          </w:p>
        </w:tc>
        <w:tc>
          <w:tcPr>
            <w:tcW w:w="9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rPr>
            </w:pPr>
            <w:r>
              <w:rPr>
                <w:rFonts w:hint="eastAsia" w:ascii="仿宋" w:hAnsi="仿宋" w:eastAsia="仿宋"/>
                <w:kern w:val="0"/>
                <w:sz w:val="20"/>
              </w:rPr>
              <w:t>治理长度（</w:t>
            </w:r>
            <w:r>
              <w:rPr>
                <w:rFonts w:ascii="Times New Roman" w:hAnsi="Times New Roman"/>
                <w:kern w:val="0"/>
                <w:sz w:val="20"/>
              </w:rPr>
              <w:t>km)</w:t>
            </w:r>
          </w:p>
        </w:tc>
        <w:tc>
          <w:tcPr>
            <w:tcW w:w="7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rPr>
            </w:pPr>
            <w:r>
              <w:rPr>
                <w:rFonts w:hint="eastAsia" w:ascii="仿宋" w:hAnsi="仿宋" w:eastAsia="仿宋"/>
                <w:kern w:val="0"/>
                <w:sz w:val="20"/>
              </w:rPr>
              <w:t>保护人口（万人）</w:t>
            </w:r>
          </w:p>
        </w:tc>
        <w:tc>
          <w:tcPr>
            <w:tcW w:w="9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rPr>
            </w:pPr>
            <w:r>
              <w:rPr>
                <w:rFonts w:hint="eastAsia" w:ascii="仿宋" w:hAnsi="仿宋" w:eastAsia="仿宋"/>
                <w:kern w:val="0"/>
                <w:sz w:val="20"/>
              </w:rPr>
              <w:t>保护耕地</w:t>
            </w:r>
          </w:p>
        </w:tc>
        <w:tc>
          <w:tcPr>
            <w:tcW w:w="92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rPr>
            </w:pPr>
            <w:r>
              <w:rPr>
                <w:rFonts w:hint="eastAsia" w:ascii="仿宋" w:hAnsi="仿宋" w:eastAsia="仿宋"/>
                <w:kern w:val="0"/>
                <w:sz w:val="20"/>
              </w:rPr>
              <w:t>投资</w:t>
            </w:r>
          </w:p>
        </w:tc>
      </w:tr>
      <w:tr>
        <w:tblPrEx>
          <w:tblLayout w:type="fixed"/>
          <w:tblCellMar>
            <w:top w:w="0" w:type="dxa"/>
            <w:left w:w="108" w:type="dxa"/>
            <w:bottom w:w="0" w:type="dxa"/>
            <w:right w:w="108" w:type="dxa"/>
          </w:tblCellMar>
        </w:tblPrEx>
        <w:trPr>
          <w:trHeight w:val="288" w:hRule="atLeast"/>
          <w:tblHeader/>
        </w:trPr>
        <w:tc>
          <w:tcPr>
            <w:tcW w:w="8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20"/>
              </w:rPr>
            </w:pPr>
          </w:p>
        </w:tc>
        <w:tc>
          <w:tcPr>
            <w:tcW w:w="5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20"/>
              </w:rPr>
            </w:pPr>
          </w:p>
        </w:tc>
        <w:tc>
          <w:tcPr>
            <w:tcW w:w="421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Times New Roman" w:hAnsi="Times New Roman"/>
                <w:kern w:val="0"/>
                <w:sz w:val="20"/>
              </w:rPr>
            </w:pPr>
          </w:p>
        </w:tc>
        <w:tc>
          <w:tcPr>
            <w:tcW w:w="9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20"/>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20"/>
              </w:rPr>
            </w:pP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rPr>
            </w:pPr>
            <w:r>
              <w:rPr>
                <w:rFonts w:hint="eastAsia" w:ascii="仿宋" w:hAnsi="仿宋" w:eastAsia="仿宋"/>
                <w:kern w:val="0"/>
                <w:sz w:val="20"/>
              </w:rPr>
              <w:t>（万亩）</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rPr>
            </w:pPr>
            <w:r>
              <w:rPr>
                <w:rFonts w:hint="eastAsia" w:ascii="仿宋" w:hAnsi="仿宋" w:eastAsia="仿宋"/>
                <w:kern w:val="0"/>
                <w:sz w:val="20"/>
              </w:rPr>
              <w:t>（万元）</w:t>
            </w:r>
          </w:p>
        </w:tc>
      </w:tr>
      <w:tr>
        <w:tblPrEx>
          <w:tblLayout w:type="fixed"/>
          <w:tblCellMar>
            <w:top w:w="0" w:type="dxa"/>
            <w:left w:w="108" w:type="dxa"/>
            <w:bottom w:w="0" w:type="dxa"/>
            <w:right w:w="108" w:type="dxa"/>
          </w:tblCellMar>
        </w:tblPrEx>
        <w:trPr>
          <w:trHeight w:val="288" w:hRule="atLeast"/>
        </w:trPr>
        <w:tc>
          <w:tcPr>
            <w:tcW w:w="80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hint="eastAsia"/>
                <w:kern w:val="0"/>
                <w:sz w:val="22"/>
                <w:szCs w:val="22"/>
              </w:rPr>
              <w:t>中小河流治理</w:t>
            </w:r>
          </w:p>
        </w:tc>
        <w:tc>
          <w:tcPr>
            <w:tcW w:w="57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ascii="Times New Roman" w:hAnsi="Times New Roman"/>
                <w:kern w:val="0"/>
                <w:sz w:val="22"/>
                <w:szCs w:val="22"/>
              </w:rPr>
              <w:t>1</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勐海县勐往乡勐往河防洪综合治理工程</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7.8</w:t>
            </w:r>
          </w:p>
        </w:tc>
        <w:tc>
          <w:tcPr>
            <w:tcW w:w="75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0.3</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rPr>
            </w:pPr>
            <w:r>
              <w:rPr>
                <w:rFonts w:ascii="Times New Roman" w:hAnsi="Times New Roman"/>
                <w:kern w:val="0"/>
              </w:rPr>
              <w:t>0.5</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3810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ascii="Times New Roman" w:hAnsi="Times New Roman"/>
                <w:kern w:val="0"/>
                <w:sz w:val="22"/>
                <w:szCs w:val="22"/>
              </w:rPr>
              <w:t>2</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勐海县流沙河县城3公里段防洪综合治理工程</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5</w:t>
            </w:r>
          </w:p>
        </w:tc>
        <w:tc>
          <w:tcPr>
            <w:tcW w:w="75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0.8</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rPr>
            </w:pPr>
            <w:r>
              <w:rPr>
                <w:rFonts w:ascii="Times New Roman" w:hAnsi="Times New Roman"/>
                <w:kern w:val="0"/>
              </w:rPr>
              <w:t>2.4</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3500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ascii="Times New Roman" w:hAnsi="Times New Roman"/>
                <w:kern w:val="0"/>
                <w:sz w:val="22"/>
                <w:szCs w:val="22"/>
              </w:rPr>
              <w:t>3</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勐海县流沙河县城8公里下游段防洪综合治理工程</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6</w:t>
            </w:r>
          </w:p>
        </w:tc>
        <w:tc>
          <w:tcPr>
            <w:tcW w:w="75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0.2</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rPr>
            </w:pPr>
            <w:r>
              <w:rPr>
                <w:rFonts w:ascii="Times New Roman" w:hAnsi="Times New Roman"/>
                <w:kern w:val="0"/>
              </w:rPr>
              <w:t>0.65</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3500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ascii="Times New Roman" w:hAnsi="Times New Roman"/>
                <w:kern w:val="0"/>
                <w:sz w:val="22"/>
                <w:szCs w:val="22"/>
              </w:rPr>
              <w:t>4</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勐海县南哈河防洪综合治理工程</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6</w:t>
            </w:r>
          </w:p>
        </w:tc>
        <w:tc>
          <w:tcPr>
            <w:tcW w:w="75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0.8</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rPr>
            </w:pPr>
            <w:r>
              <w:rPr>
                <w:rFonts w:ascii="Times New Roman" w:hAnsi="Times New Roman"/>
                <w:kern w:val="0"/>
              </w:rPr>
              <w:t>1</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3000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ascii="Times New Roman" w:hAnsi="Times New Roman"/>
                <w:kern w:val="0"/>
                <w:sz w:val="22"/>
                <w:szCs w:val="22"/>
              </w:rPr>
              <w:t>5</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勐海县勐满镇南满河防洪综合治理工程</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8</w:t>
            </w:r>
          </w:p>
        </w:tc>
        <w:tc>
          <w:tcPr>
            <w:tcW w:w="75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0.1</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rPr>
            </w:pPr>
            <w:r>
              <w:rPr>
                <w:rFonts w:ascii="Times New Roman" w:hAnsi="Times New Roman"/>
                <w:kern w:val="0"/>
              </w:rPr>
              <w:t>0.1</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5000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ascii="Times New Roman" w:hAnsi="Times New Roman"/>
                <w:kern w:val="0"/>
                <w:sz w:val="22"/>
                <w:szCs w:val="22"/>
              </w:rPr>
              <w:t>6</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勐海县勐阿镇南阿河防洪综合治理工程</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9</w:t>
            </w:r>
          </w:p>
        </w:tc>
        <w:tc>
          <w:tcPr>
            <w:tcW w:w="75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0.7</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rPr>
            </w:pPr>
            <w:r>
              <w:rPr>
                <w:rFonts w:ascii="Times New Roman" w:hAnsi="Times New Roman"/>
                <w:kern w:val="0"/>
              </w:rPr>
              <w:t>1.6</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5000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ascii="Times New Roman" w:hAnsi="Times New Roman"/>
                <w:kern w:val="0"/>
                <w:sz w:val="22"/>
                <w:szCs w:val="22"/>
              </w:rPr>
              <w:t>7</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勐海县南果河防洪综合治理工程</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5</w:t>
            </w:r>
          </w:p>
        </w:tc>
        <w:tc>
          <w:tcPr>
            <w:tcW w:w="75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0.7</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rPr>
            </w:pPr>
            <w:r>
              <w:rPr>
                <w:rFonts w:ascii="Times New Roman" w:hAnsi="Times New Roman"/>
                <w:kern w:val="0"/>
              </w:rPr>
              <w:t>1.6</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3000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ascii="Times New Roman" w:hAnsi="Times New Roman"/>
                <w:kern w:val="0"/>
                <w:sz w:val="22"/>
                <w:szCs w:val="22"/>
              </w:rPr>
              <w:t>8</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勐海县南披河防洪综合治理工程</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5</w:t>
            </w:r>
          </w:p>
        </w:tc>
        <w:tc>
          <w:tcPr>
            <w:tcW w:w="75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0.3</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rPr>
            </w:pPr>
            <w:r>
              <w:rPr>
                <w:rFonts w:ascii="Times New Roman" w:hAnsi="Times New Roman"/>
                <w:kern w:val="0"/>
              </w:rPr>
              <w:t>0.1</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3000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ascii="Times New Roman" w:hAnsi="Times New Roman"/>
                <w:kern w:val="0"/>
                <w:sz w:val="22"/>
                <w:szCs w:val="22"/>
              </w:rPr>
              <w:t>9</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勐海县南佬河防洪综合治理工程</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6</w:t>
            </w:r>
          </w:p>
        </w:tc>
        <w:tc>
          <w:tcPr>
            <w:tcW w:w="75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0.5</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rPr>
            </w:pPr>
            <w:r>
              <w:rPr>
                <w:rFonts w:ascii="Times New Roman" w:hAnsi="Times New Roman"/>
                <w:kern w:val="0"/>
              </w:rPr>
              <w:t>0.3</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3000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ascii="Times New Roman" w:hAnsi="Times New Roman"/>
                <w:kern w:val="0"/>
                <w:sz w:val="22"/>
                <w:szCs w:val="22"/>
              </w:rPr>
              <w:t>10</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勐海县南木介河防洪综合治理工程</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6</w:t>
            </w:r>
          </w:p>
        </w:tc>
        <w:tc>
          <w:tcPr>
            <w:tcW w:w="75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0.4</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rPr>
            </w:pPr>
            <w:r>
              <w:rPr>
                <w:rFonts w:ascii="Times New Roman" w:hAnsi="Times New Roman"/>
                <w:kern w:val="0"/>
              </w:rPr>
              <w:t>1.1</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3000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ascii="Times New Roman" w:hAnsi="Times New Roman"/>
                <w:kern w:val="0"/>
                <w:sz w:val="22"/>
                <w:szCs w:val="22"/>
              </w:rPr>
              <w:t>11</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勐海县布朗山乡南洞河防洪综合治理工程</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8</w:t>
            </w:r>
          </w:p>
        </w:tc>
        <w:tc>
          <w:tcPr>
            <w:tcW w:w="75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0.2</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rPr>
            </w:pPr>
            <w:r>
              <w:rPr>
                <w:rFonts w:ascii="Times New Roman" w:hAnsi="Times New Roman"/>
                <w:kern w:val="0"/>
              </w:rPr>
              <w:t>1.2</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5000</w:t>
            </w:r>
          </w:p>
        </w:tc>
      </w:tr>
      <w:tr>
        <w:tblPrEx>
          <w:tblLayout w:type="fixed"/>
          <w:tblCellMar>
            <w:top w:w="0" w:type="dxa"/>
            <w:left w:w="108" w:type="dxa"/>
            <w:bottom w:w="0" w:type="dxa"/>
            <w:right w:w="108" w:type="dxa"/>
          </w:tblCellMar>
        </w:tblPrEx>
        <w:trPr>
          <w:trHeight w:val="288" w:hRule="atLeast"/>
        </w:trPr>
        <w:tc>
          <w:tcPr>
            <w:tcW w:w="80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hint="eastAsia"/>
                <w:kern w:val="0"/>
                <w:sz w:val="22"/>
                <w:szCs w:val="22"/>
              </w:rPr>
              <w:t>山洪沟治理</w:t>
            </w: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勐阿镇南吕河山洪沟综合治理工程</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6</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0.48</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0.69</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3200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2</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打洛镇南涧河山洪沟综合治理工程</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2</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0.12</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0.02</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1500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3</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勐满镇付腊河山洪沟综合治理工程</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3</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0.09</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0.16</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1500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4</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勐宋乡曼方河山洪沟综合治理工程</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4</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0.19</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0.31</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1500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5</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勐阿镇南给河山洪沟综合治理工程</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3</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0.1</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0.12</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1500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6</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勐阿镇曼贺河山洪沟综合治理工程</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2.6</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0.08</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0.14</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1500</w:t>
            </w:r>
          </w:p>
        </w:tc>
      </w:tr>
      <w:tr>
        <w:tblPrEx>
          <w:tblLayout w:type="fixed"/>
          <w:tblCellMar>
            <w:top w:w="0" w:type="dxa"/>
            <w:left w:w="108" w:type="dxa"/>
            <w:bottom w:w="0" w:type="dxa"/>
            <w:right w:w="108" w:type="dxa"/>
          </w:tblCellMar>
        </w:tblPrEx>
        <w:trPr>
          <w:trHeight w:val="288" w:hRule="atLeast"/>
        </w:trPr>
        <w:tc>
          <w:tcPr>
            <w:tcW w:w="80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hint="eastAsia"/>
                <w:kern w:val="0"/>
                <w:sz w:val="22"/>
                <w:szCs w:val="22"/>
              </w:rPr>
              <w:t>病险水库除险加固</w:t>
            </w: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那达勐水库</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6.44</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11.64</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15000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2</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批龙水库除险加固工程</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1.22</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2.53</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386</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3</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小型病险水库除险加固工程</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2.5</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3</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2500</w:t>
            </w:r>
          </w:p>
        </w:tc>
      </w:tr>
      <w:tr>
        <w:tblPrEx>
          <w:tblLayout w:type="fixed"/>
          <w:tblCellMar>
            <w:top w:w="0" w:type="dxa"/>
            <w:left w:w="108" w:type="dxa"/>
            <w:bottom w:w="0" w:type="dxa"/>
            <w:right w:w="108" w:type="dxa"/>
          </w:tblCellMar>
        </w:tblPrEx>
        <w:trPr>
          <w:trHeight w:val="475"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4</w:t>
            </w:r>
          </w:p>
        </w:tc>
        <w:tc>
          <w:tcPr>
            <w:tcW w:w="4212"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kern w:val="0"/>
                <w:sz w:val="22"/>
                <w:szCs w:val="22"/>
              </w:rPr>
            </w:pPr>
            <w:r>
              <w:rPr>
                <w:rFonts w:ascii="Times New Roman" w:hAnsi="Times New Roman"/>
                <w:kern w:val="0"/>
                <w:sz w:val="22"/>
                <w:szCs w:val="22"/>
              </w:rPr>
              <w:t>坝塘除险加固工程</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p>
        </w:tc>
        <w:tc>
          <w:tcPr>
            <w:tcW w:w="75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1.2</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1.5</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2500</w:t>
            </w:r>
          </w:p>
        </w:tc>
      </w:tr>
      <w:tr>
        <w:tblPrEx>
          <w:tblLayout w:type="fixed"/>
          <w:tblCellMar>
            <w:top w:w="0" w:type="dxa"/>
            <w:left w:w="108" w:type="dxa"/>
            <w:bottom w:w="0" w:type="dxa"/>
            <w:right w:w="108" w:type="dxa"/>
          </w:tblCellMar>
        </w:tblPrEx>
        <w:trPr>
          <w:trHeight w:val="288" w:hRule="atLeast"/>
        </w:trPr>
        <w:tc>
          <w:tcPr>
            <w:tcW w:w="80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2"/>
                <w:szCs w:val="22"/>
              </w:rPr>
            </w:pPr>
            <w:r>
              <w:rPr>
                <w:rFonts w:hint="eastAsia"/>
                <w:kern w:val="0"/>
                <w:sz w:val="22"/>
                <w:szCs w:val="22"/>
              </w:rPr>
              <w:t>病险水闸除险加固</w:t>
            </w: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三公里水闸</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0.6</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1.1</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1500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2</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曼贺龙水闸</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0.5</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1.12</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1500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3</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十二公里水闸</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0.45</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0.9</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1500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4</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曼贺勐水闸</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0.4</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1500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5</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八公里水闸</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0.4</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1.2</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6</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曼赛水闸</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0.3</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1.02</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1500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7</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曼丙水闸</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0.4</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0.2</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8</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曼拉水闸</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0.4</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0.3</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1500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9</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曼燕水闸</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0.3</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0.15</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10</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曼弄罕水闸</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0.4</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0.17</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11</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曼国水闸1号</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0.4</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0.21</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12</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曼国水闸2号</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0.3</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0.15</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13</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曼国水闸3号</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0.4</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0.18</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14</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曼宰龙水闸</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0.4</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0.21</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1000</w:t>
            </w:r>
          </w:p>
        </w:tc>
      </w:tr>
      <w:tr>
        <w:tblPrEx>
          <w:tblLayout w:type="fixed"/>
          <w:tblCellMar>
            <w:top w:w="0" w:type="dxa"/>
            <w:left w:w="108" w:type="dxa"/>
            <w:bottom w:w="0" w:type="dxa"/>
            <w:right w:w="108" w:type="dxa"/>
          </w:tblCellMar>
        </w:tblPrEx>
        <w:trPr>
          <w:trHeight w:val="288" w:hRule="atLeast"/>
        </w:trPr>
        <w:tc>
          <w:tcPr>
            <w:tcW w:w="80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 w:val="22"/>
                <w:szCs w:val="22"/>
              </w:rPr>
            </w:pPr>
          </w:p>
        </w:tc>
        <w:tc>
          <w:tcPr>
            <w:tcW w:w="57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15</w:t>
            </w:r>
          </w:p>
        </w:tc>
        <w:tc>
          <w:tcPr>
            <w:tcW w:w="4212" w:type="dxa"/>
            <w:tcBorders>
              <w:top w:val="nil"/>
              <w:left w:val="nil"/>
              <w:bottom w:val="single" w:color="auto" w:sz="4" w:space="0"/>
              <w:right w:val="single" w:color="auto" w:sz="4" w:space="0"/>
            </w:tcBorders>
            <w:shd w:val="clear" w:color="auto" w:fill="auto"/>
            <w:noWrap/>
            <w:vAlign w:val="bottom"/>
          </w:tcPr>
          <w:p>
            <w:pPr>
              <w:widowControl/>
              <w:jc w:val="left"/>
              <w:rPr>
                <w:rFonts w:ascii="Times New Roman" w:hAnsi="Times New Roman"/>
                <w:kern w:val="0"/>
                <w:sz w:val="22"/>
                <w:szCs w:val="22"/>
              </w:rPr>
            </w:pPr>
            <w:r>
              <w:rPr>
                <w:rFonts w:ascii="Times New Roman" w:hAnsi="Times New Roman"/>
                <w:kern w:val="0"/>
                <w:sz w:val="22"/>
                <w:szCs w:val="22"/>
              </w:rPr>
              <w:t>曼宛水闸</w:t>
            </w:r>
          </w:p>
        </w:tc>
        <w:tc>
          <w:tcPr>
            <w:tcW w:w="98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　</w:t>
            </w:r>
          </w:p>
        </w:tc>
        <w:tc>
          <w:tcPr>
            <w:tcW w:w="75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0.3</w:t>
            </w:r>
          </w:p>
        </w:tc>
        <w:tc>
          <w:tcPr>
            <w:tcW w:w="92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0.14</w:t>
            </w:r>
          </w:p>
        </w:tc>
        <w:tc>
          <w:tcPr>
            <w:tcW w:w="925"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2"/>
                <w:szCs w:val="22"/>
              </w:rPr>
            </w:pPr>
            <w:r>
              <w:rPr>
                <w:rFonts w:ascii="Times New Roman" w:hAnsi="Times New Roman"/>
                <w:kern w:val="0"/>
                <w:sz w:val="22"/>
                <w:szCs w:val="22"/>
              </w:rPr>
              <w:t>1000</w:t>
            </w:r>
          </w:p>
        </w:tc>
      </w:tr>
      <w:tr>
        <w:tblPrEx>
          <w:tblLayout w:type="fixed"/>
          <w:tblCellMar>
            <w:top w:w="0" w:type="dxa"/>
            <w:left w:w="108" w:type="dxa"/>
            <w:bottom w:w="0" w:type="dxa"/>
            <w:right w:w="108" w:type="dxa"/>
          </w:tblCellMar>
        </w:tblPrEx>
        <w:trPr>
          <w:trHeight w:val="288" w:hRule="atLeast"/>
        </w:trPr>
        <w:tc>
          <w:tcPr>
            <w:tcW w:w="5589"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hint="eastAsia"/>
                <w:kern w:val="0"/>
                <w:sz w:val="22"/>
                <w:szCs w:val="22"/>
              </w:rPr>
              <w:t>合计</w:t>
            </w:r>
          </w:p>
        </w:tc>
        <w:tc>
          <w:tcPr>
            <w:tcW w:w="9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p>
        </w:tc>
        <w:tc>
          <w:tcPr>
            <w:tcW w:w="75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23.38</w:t>
            </w:r>
          </w:p>
        </w:tc>
        <w:tc>
          <w:tcPr>
            <w:tcW w:w="92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38.71</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2"/>
                <w:szCs w:val="22"/>
              </w:rPr>
            </w:pPr>
            <w:r>
              <w:rPr>
                <w:rFonts w:ascii="Times New Roman" w:hAnsi="Times New Roman"/>
                <w:kern w:val="0"/>
                <w:sz w:val="22"/>
                <w:szCs w:val="22"/>
              </w:rPr>
              <w:t>89896</w:t>
            </w:r>
          </w:p>
        </w:tc>
      </w:tr>
    </w:tbl>
    <w:p>
      <w:pPr>
        <w:spacing w:line="560" w:lineRule="exact"/>
        <w:ind w:firstLine="576" w:firstLineChars="200"/>
        <w:rPr>
          <w:rFonts w:ascii="Times New Roman" w:hAnsi="Times New Roman" w:eastAsia="仿宋_GB2312"/>
          <w:color w:val="auto"/>
          <w:spacing w:val="4"/>
          <w:sz w:val="28"/>
          <w:szCs w:val="28"/>
        </w:rPr>
      </w:pPr>
    </w:p>
    <w:p>
      <w:pPr>
        <w:pStyle w:val="2"/>
      </w:pPr>
      <w:bookmarkStart w:id="47" w:name="_Toc43754889"/>
      <w:bookmarkStart w:id="48" w:name="_Toc62461319"/>
      <w:r>
        <w:t>质量统筹，</w:t>
      </w:r>
      <w:bookmarkEnd w:id="47"/>
      <w:r>
        <w:rPr>
          <w:rFonts w:hint="eastAsia"/>
        </w:rPr>
        <w:t>保障</w:t>
      </w:r>
      <w:r>
        <w:t>供水安全</w:t>
      </w:r>
      <w:bookmarkEnd w:id="48"/>
    </w:p>
    <w:p>
      <w:pPr>
        <w:spacing w:line="560" w:lineRule="exact"/>
        <w:ind w:firstLine="576" w:firstLineChars="200"/>
        <w:rPr>
          <w:rFonts w:ascii="Times New Roman" w:hAnsi="Times New Roman" w:eastAsia="仿宋_GB2312"/>
          <w:color w:val="auto"/>
          <w:spacing w:val="4"/>
          <w:sz w:val="28"/>
          <w:szCs w:val="28"/>
        </w:rPr>
      </w:pPr>
      <w:bookmarkStart w:id="49" w:name="_Toc43754890"/>
      <w:r>
        <w:rPr>
          <w:rFonts w:hint="eastAsia" w:ascii="Times New Roman" w:hAnsi="Times New Roman" w:eastAsia="仿宋_GB2312"/>
          <w:color w:val="auto"/>
          <w:spacing w:val="4"/>
          <w:sz w:val="28"/>
          <w:szCs w:val="28"/>
        </w:rPr>
        <w:t>强化水资源刚性约束，按照“挖潜力、强骨干”的思路，抓紧推进一批标志性的重大水源和引调水骨干工程，推进城乡一体化供水，开展灌区灌排渠现代化升级改造，全面提升勐海县水资源配置和城乡供水安全保障能力。</w:t>
      </w:r>
    </w:p>
    <w:p>
      <w:pPr>
        <w:pStyle w:val="4"/>
      </w:pPr>
      <w:bookmarkStart w:id="50" w:name="_Toc62461320"/>
      <w:r>
        <w:t>加快</w:t>
      </w:r>
      <w:bookmarkEnd w:id="49"/>
      <w:r>
        <w:rPr>
          <w:rFonts w:hint="eastAsia"/>
        </w:rPr>
        <w:t>骨干</w:t>
      </w:r>
      <w:r>
        <w:t>水源工程建设</w:t>
      </w:r>
      <w:bookmarkEnd w:id="50"/>
    </w:p>
    <w:p>
      <w:pPr>
        <w:pStyle w:val="5"/>
      </w:pPr>
      <w:r>
        <w:rPr>
          <w:rFonts w:hint="eastAsia"/>
        </w:rPr>
        <w:t>续建</w:t>
      </w:r>
      <w:r>
        <w:t>工程</w:t>
      </w:r>
    </w:p>
    <w:p>
      <w:pPr>
        <w:pStyle w:val="3"/>
        <w:ind w:firstLine="576"/>
      </w:pPr>
      <w:r>
        <w:rPr>
          <w:rFonts w:hint="eastAsia"/>
        </w:rPr>
        <w:t>加快续建十三五期间已开工建设的水源工程，“十四五”规划需加快曼桂水库、曼彦水库工程建设，改建小</w:t>
      </w:r>
      <w:r>
        <w:t>（一）</w:t>
      </w:r>
      <w:r>
        <w:rPr>
          <w:rFonts w:hint="eastAsia"/>
        </w:rPr>
        <w:t>型水库一座（曼老水库），确保十四五期间按期完成水库建设及蓄水任务。</w:t>
      </w:r>
    </w:p>
    <w:p>
      <w:pPr>
        <w:pStyle w:val="62"/>
        <w:numPr>
          <w:ilvl w:val="0"/>
          <w:numId w:val="4"/>
        </w:numPr>
        <w:spacing w:line="560" w:lineRule="exact"/>
        <w:ind w:firstLineChars="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曼桂水库</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曼桂水库位于西双版纳州勐海县西北部流沙河左岸一级支流南哈河的右岸支流回南遮河上。回南遮河发源于怕顶大梁子附近，河源海拔约</w:t>
      </w:r>
      <w:r>
        <w:rPr>
          <w:rFonts w:ascii="Times New Roman" w:hAnsi="Times New Roman" w:eastAsia="仿宋_GB2312"/>
          <w:color w:val="auto"/>
          <w:spacing w:val="4"/>
          <w:sz w:val="28"/>
          <w:szCs w:val="28"/>
        </w:rPr>
        <w:t>2135m，河长11.2km，河道平均坡降30.4‰，径流面积21.2km</w:t>
      </w:r>
      <w:r>
        <w:rPr>
          <w:rFonts w:ascii="Times New Roman" w:hAnsi="Times New Roman" w:eastAsia="仿宋_GB2312"/>
          <w:color w:val="auto"/>
          <w:spacing w:val="4"/>
          <w:sz w:val="28"/>
          <w:szCs w:val="28"/>
          <w:vertAlign w:val="superscript"/>
        </w:rPr>
        <w:t>2</w:t>
      </w:r>
      <w:r>
        <w:rPr>
          <w:rFonts w:ascii="Times New Roman" w:hAnsi="Times New Roman" w:eastAsia="仿宋_GB2312"/>
          <w:color w:val="auto"/>
          <w:spacing w:val="4"/>
          <w:sz w:val="28"/>
          <w:szCs w:val="28"/>
        </w:rPr>
        <w:t>，多年平均径流1880万m</w:t>
      </w:r>
      <w:r>
        <w:rPr>
          <w:rFonts w:ascii="Times New Roman" w:hAnsi="Times New Roman" w:eastAsia="仿宋_GB2312"/>
          <w:color w:val="auto"/>
          <w:spacing w:val="4"/>
          <w:sz w:val="28"/>
          <w:szCs w:val="28"/>
          <w:vertAlign w:val="superscript"/>
        </w:rPr>
        <w:t>3</w:t>
      </w:r>
      <w:r>
        <w:rPr>
          <w:rFonts w:ascii="Times New Roman" w:hAnsi="Times New Roman" w:eastAsia="仿宋_GB2312"/>
          <w:color w:val="auto"/>
          <w:spacing w:val="4"/>
          <w:sz w:val="28"/>
          <w:szCs w:val="28"/>
        </w:rPr>
        <w:t>。</w:t>
      </w:r>
      <w:r>
        <w:rPr>
          <w:rFonts w:hint="eastAsia" w:ascii="Times New Roman" w:hAnsi="Times New Roman" w:eastAsia="仿宋_GB2312"/>
          <w:color w:val="auto"/>
          <w:spacing w:val="4"/>
          <w:sz w:val="28"/>
          <w:szCs w:val="28"/>
        </w:rPr>
        <w:t>曼桂水库总库容1112.30万m</w:t>
      </w:r>
      <w:r>
        <w:rPr>
          <w:rFonts w:hint="eastAsia"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，正常库容</w:t>
      </w:r>
      <w:r>
        <w:rPr>
          <w:rFonts w:ascii="Times New Roman" w:hAnsi="Times New Roman" w:eastAsia="仿宋_GB2312"/>
          <w:color w:val="auto"/>
          <w:spacing w:val="4"/>
          <w:sz w:val="28"/>
          <w:szCs w:val="28"/>
        </w:rPr>
        <w:t>100</w:t>
      </w:r>
      <w:r>
        <w:rPr>
          <w:rFonts w:hint="eastAsia" w:ascii="Times New Roman" w:hAnsi="Times New Roman" w:eastAsia="仿宋_GB2312"/>
          <w:color w:val="auto"/>
          <w:spacing w:val="4"/>
          <w:sz w:val="28"/>
          <w:szCs w:val="28"/>
        </w:rPr>
        <w:t>5.3万m</w:t>
      </w:r>
      <w:r>
        <w:rPr>
          <w:rFonts w:hint="eastAsia"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，正常蓄水位1330.24m，兴利库容</w:t>
      </w:r>
      <w:r>
        <w:rPr>
          <w:rFonts w:ascii="Times New Roman" w:hAnsi="Times New Roman" w:eastAsia="仿宋_GB2312"/>
          <w:color w:val="auto"/>
          <w:spacing w:val="4"/>
          <w:sz w:val="28"/>
          <w:szCs w:val="28"/>
        </w:rPr>
        <w:t>91</w:t>
      </w:r>
      <w:r>
        <w:rPr>
          <w:rFonts w:hint="eastAsia" w:ascii="Times New Roman" w:hAnsi="Times New Roman" w:eastAsia="仿宋_GB2312"/>
          <w:color w:val="auto"/>
          <w:spacing w:val="4"/>
          <w:sz w:val="28"/>
          <w:szCs w:val="28"/>
        </w:rPr>
        <w:t>8.7万m</w:t>
      </w:r>
      <w:r>
        <w:rPr>
          <w:rFonts w:hint="eastAsia"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；水库总供水量</w:t>
      </w:r>
      <w:r>
        <w:rPr>
          <w:rFonts w:ascii="Times New Roman" w:hAnsi="Times New Roman" w:eastAsia="仿宋_GB2312"/>
          <w:color w:val="auto"/>
          <w:spacing w:val="4"/>
          <w:sz w:val="28"/>
          <w:szCs w:val="28"/>
        </w:rPr>
        <w:t>1442.7</w:t>
      </w:r>
      <w:r>
        <w:rPr>
          <w:rFonts w:hint="eastAsia" w:ascii="Times New Roman" w:hAnsi="Times New Roman" w:eastAsia="仿宋_GB2312"/>
          <w:color w:val="auto"/>
          <w:spacing w:val="4"/>
          <w:sz w:val="28"/>
          <w:szCs w:val="28"/>
        </w:rPr>
        <w:t>万m</w:t>
      </w:r>
      <w:r>
        <w:rPr>
          <w:rFonts w:hint="eastAsia"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，其中农村人畜供水90.7万m</w:t>
      </w:r>
      <w:r>
        <w:rPr>
          <w:rFonts w:hint="eastAsia"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，农业灌溉供水1352.0万m</w:t>
      </w:r>
      <w:r>
        <w:rPr>
          <w:rFonts w:hint="eastAsia"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，设计灌溉面积</w:t>
      </w:r>
      <w:r>
        <w:rPr>
          <w:rFonts w:ascii="Times New Roman" w:hAnsi="Times New Roman" w:eastAsia="仿宋_GB2312"/>
          <w:color w:val="auto"/>
          <w:spacing w:val="4"/>
          <w:sz w:val="28"/>
          <w:szCs w:val="28"/>
        </w:rPr>
        <w:t>2.43</w:t>
      </w:r>
      <w:r>
        <w:rPr>
          <w:rFonts w:hint="eastAsia" w:ascii="Times New Roman" w:hAnsi="Times New Roman" w:eastAsia="仿宋_GB2312"/>
          <w:color w:val="auto"/>
          <w:spacing w:val="4"/>
          <w:sz w:val="28"/>
          <w:szCs w:val="28"/>
        </w:rPr>
        <w:t>万亩，其中新增灌溉</w:t>
      </w:r>
      <w:r>
        <w:rPr>
          <w:rFonts w:ascii="Times New Roman" w:hAnsi="Times New Roman" w:eastAsia="仿宋_GB2312"/>
          <w:color w:val="auto"/>
          <w:spacing w:val="4"/>
          <w:sz w:val="28"/>
          <w:szCs w:val="28"/>
        </w:rPr>
        <w:t>2.29</w:t>
      </w:r>
      <w:r>
        <w:rPr>
          <w:rFonts w:hint="eastAsia" w:ascii="Times New Roman" w:hAnsi="Times New Roman" w:eastAsia="仿宋_GB2312"/>
          <w:color w:val="auto"/>
          <w:spacing w:val="4"/>
          <w:sz w:val="28"/>
          <w:szCs w:val="28"/>
        </w:rPr>
        <w:t>万亩、改善灌溉</w:t>
      </w:r>
      <w:r>
        <w:rPr>
          <w:rFonts w:ascii="Times New Roman" w:hAnsi="Times New Roman" w:eastAsia="仿宋_GB2312"/>
          <w:color w:val="auto"/>
          <w:spacing w:val="4"/>
          <w:sz w:val="28"/>
          <w:szCs w:val="28"/>
        </w:rPr>
        <w:t>0.14</w:t>
      </w:r>
      <w:r>
        <w:rPr>
          <w:rFonts w:hint="eastAsia" w:ascii="Times New Roman" w:hAnsi="Times New Roman" w:eastAsia="仿宋_GB2312"/>
          <w:color w:val="auto"/>
          <w:spacing w:val="4"/>
          <w:sz w:val="28"/>
          <w:szCs w:val="28"/>
        </w:rPr>
        <w:t>万亩。</w:t>
      </w:r>
      <w:r>
        <w:rPr>
          <w:rFonts w:ascii="Times New Roman" w:hAnsi="Times New Roman" w:eastAsia="仿宋_GB2312"/>
          <w:color w:val="auto"/>
          <w:spacing w:val="4"/>
          <w:sz w:val="28"/>
          <w:szCs w:val="28"/>
        </w:rPr>
        <w:t>工程已于2017年开工，工期5年。十三五期间</w:t>
      </w:r>
      <w:r>
        <w:rPr>
          <w:rFonts w:hint="eastAsia" w:ascii="Times New Roman" w:hAnsi="Times New Roman" w:eastAsia="仿宋_GB2312"/>
          <w:color w:val="auto"/>
          <w:spacing w:val="4"/>
          <w:sz w:val="28"/>
          <w:szCs w:val="28"/>
        </w:rPr>
        <w:t>，曼桂水库</w:t>
      </w:r>
      <w:r>
        <w:rPr>
          <w:rFonts w:ascii="Times New Roman" w:hAnsi="Times New Roman" w:eastAsia="仿宋_GB2312"/>
          <w:color w:val="auto"/>
          <w:spacing w:val="4"/>
          <w:sz w:val="28"/>
          <w:szCs w:val="28"/>
        </w:rPr>
        <w:t>已完成投资</w:t>
      </w:r>
      <w:r>
        <w:rPr>
          <w:rFonts w:hint="eastAsia" w:ascii="Times New Roman" w:hAnsi="Times New Roman" w:eastAsia="仿宋_GB2312"/>
          <w:color w:val="auto"/>
          <w:spacing w:val="4"/>
          <w:sz w:val="28"/>
          <w:szCs w:val="28"/>
        </w:rPr>
        <w:t>47560</w:t>
      </w:r>
      <w:r>
        <w:rPr>
          <w:rFonts w:ascii="Times New Roman" w:hAnsi="Times New Roman" w:eastAsia="仿宋_GB2312"/>
          <w:color w:val="auto"/>
          <w:spacing w:val="4"/>
          <w:sz w:val="28"/>
          <w:szCs w:val="28"/>
        </w:rPr>
        <w:t>万元，投资完成率</w:t>
      </w:r>
      <w:r>
        <w:rPr>
          <w:rFonts w:hint="eastAsia" w:ascii="Times New Roman" w:hAnsi="Times New Roman" w:eastAsia="仿宋_GB2312"/>
          <w:color w:val="auto"/>
          <w:spacing w:val="4"/>
          <w:sz w:val="28"/>
          <w:szCs w:val="28"/>
        </w:rPr>
        <w:t>98</w:t>
      </w:r>
      <w:r>
        <w:rPr>
          <w:rFonts w:ascii="Times New Roman" w:hAnsi="Times New Roman" w:eastAsia="仿宋_GB2312"/>
          <w:color w:val="auto"/>
          <w:spacing w:val="4"/>
          <w:sz w:val="28"/>
          <w:szCs w:val="28"/>
        </w:rPr>
        <w:t>%。</w:t>
      </w:r>
    </w:p>
    <w:p>
      <w:pPr>
        <w:pStyle w:val="62"/>
        <w:numPr>
          <w:ilvl w:val="0"/>
          <w:numId w:val="4"/>
        </w:numPr>
        <w:spacing w:line="560" w:lineRule="exact"/>
        <w:ind w:firstLineChars="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曼彦水库</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勐海县曼彦水库位于云南省重要的边境旅游贸易口岸勐海县打洛镇，曼彦水库建设任务为解决灌溉和农村人畜饮水的小（一）型水库，水库总库容376.64</w:t>
      </w:r>
      <w:r>
        <w:rPr>
          <w:rFonts w:ascii="Times New Roman" w:hAnsi="Times New Roman" w:eastAsia="仿宋_GB2312"/>
          <w:color w:val="auto"/>
          <w:spacing w:val="4"/>
          <w:sz w:val="28"/>
          <w:szCs w:val="28"/>
        </w:rPr>
        <w:t>万m</w:t>
      </w:r>
      <w:r>
        <w:rPr>
          <w:rFonts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，兴利库容</w:t>
      </w:r>
      <w:r>
        <w:rPr>
          <w:rFonts w:ascii="Times New Roman" w:hAnsi="Times New Roman" w:eastAsia="仿宋_GB2312"/>
          <w:color w:val="auto"/>
          <w:spacing w:val="4"/>
          <w:sz w:val="28"/>
          <w:szCs w:val="28"/>
        </w:rPr>
        <w:t>315.17万m</w:t>
      </w:r>
      <w:r>
        <w:rPr>
          <w:rFonts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，正常蓄水位</w:t>
      </w:r>
      <w:r>
        <w:rPr>
          <w:rFonts w:ascii="Times New Roman" w:hAnsi="Times New Roman" w:eastAsia="仿宋_GB2312"/>
          <w:color w:val="auto"/>
          <w:spacing w:val="4"/>
          <w:sz w:val="28"/>
          <w:szCs w:val="28"/>
        </w:rPr>
        <w:t>756.40</w:t>
      </w:r>
      <w:r>
        <w:rPr>
          <w:rFonts w:hint="eastAsia" w:ascii="Times New Roman" w:hAnsi="Times New Roman" w:eastAsia="仿宋_GB2312"/>
          <w:color w:val="auto"/>
          <w:spacing w:val="4"/>
          <w:sz w:val="28"/>
          <w:szCs w:val="28"/>
        </w:rPr>
        <w:t>m，水库总供水量802.7万m</w:t>
      </w:r>
      <w:r>
        <w:rPr>
          <w:rFonts w:hint="eastAsia"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，其中农村人畜供水164.7万m</w:t>
      </w:r>
      <w:r>
        <w:rPr>
          <w:rFonts w:hint="eastAsia"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，农业灌溉供水638.0万m</w:t>
      </w:r>
      <w:r>
        <w:rPr>
          <w:rFonts w:hint="eastAsia"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，设计灌溉面积</w:t>
      </w:r>
      <w:commentRangeStart w:id="32"/>
      <w:r>
        <w:rPr>
          <w:rFonts w:hint="eastAsia" w:ascii="Times New Roman" w:hAnsi="Times New Roman" w:eastAsia="仿宋_GB2312"/>
          <w:color w:val="auto"/>
          <w:spacing w:val="4"/>
          <w:sz w:val="28"/>
          <w:szCs w:val="28"/>
        </w:rPr>
        <w:t>1.642</w:t>
      </w:r>
      <w:commentRangeEnd w:id="32"/>
      <w:r>
        <w:rPr>
          <w:rStyle w:val="39"/>
        </w:rPr>
        <w:commentReference w:id="32"/>
      </w:r>
      <w:r>
        <w:rPr>
          <w:rFonts w:hint="eastAsia" w:ascii="Times New Roman" w:hAnsi="Times New Roman" w:eastAsia="仿宋_GB2312"/>
          <w:color w:val="auto"/>
          <w:spacing w:val="4"/>
          <w:sz w:val="28"/>
          <w:szCs w:val="28"/>
        </w:rPr>
        <w:t>万亩，</w:t>
      </w:r>
      <w:r>
        <w:rPr>
          <w:rFonts w:ascii="Times New Roman" w:hAnsi="Times New Roman" w:eastAsia="仿宋_GB2312"/>
          <w:color w:val="auto"/>
          <w:spacing w:val="4"/>
          <w:sz w:val="28"/>
          <w:szCs w:val="28"/>
        </w:rPr>
        <w:t>十三五期间</w:t>
      </w:r>
      <w:r>
        <w:rPr>
          <w:rFonts w:hint="eastAsia" w:ascii="Times New Roman" w:hAnsi="Times New Roman" w:eastAsia="仿宋_GB2312"/>
          <w:color w:val="auto"/>
          <w:spacing w:val="4"/>
          <w:sz w:val="28"/>
          <w:szCs w:val="28"/>
        </w:rPr>
        <w:t>，曼彦水库</w:t>
      </w:r>
      <w:r>
        <w:rPr>
          <w:rFonts w:ascii="Times New Roman" w:hAnsi="Times New Roman" w:eastAsia="仿宋_GB2312"/>
          <w:color w:val="auto"/>
          <w:spacing w:val="4"/>
          <w:sz w:val="28"/>
          <w:szCs w:val="28"/>
        </w:rPr>
        <w:t>已完成投资</w:t>
      </w:r>
      <w:r>
        <w:rPr>
          <w:rFonts w:hint="eastAsia" w:ascii="Times New Roman" w:hAnsi="Times New Roman" w:eastAsia="仿宋_GB2312"/>
          <w:color w:val="auto"/>
          <w:spacing w:val="4"/>
          <w:sz w:val="28"/>
          <w:szCs w:val="28"/>
        </w:rPr>
        <w:t>2050</w:t>
      </w:r>
      <w:r>
        <w:rPr>
          <w:rFonts w:ascii="Times New Roman" w:hAnsi="Times New Roman" w:eastAsia="仿宋_GB2312"/>
          <w:color w:val="auto"/>
          <w:spacing w:val="4"/>
          <w:sz w:val="28"/>
          <w:szCs w:val="28"/>
        </w:rPr>
        <w:t>万元，投资完成率</w:t>
      </w:r>
      <w:r>
        <w:rPr>
          <w:rFonts w:hint="eastAsia" w:ascii="Times New Roman" w:hAnsi="Times New Roman" w:eastAsia="仿宋_GB2312"/>
          <w:color w:val="auto"/>
          <w:spacing w:val="4"/>
          <w:sz w:val="28"/>
          <w:szCs w:val="28"/>
        </w:rPr>
        <w:t>11</w:t>
      </w:r>
      <w:r>
        <w:rPr>
          <w:rFonts w:ascii="Times New Roman" w:hAnsi="Times New Roman" w:eastAsia="仿宋_GB2312"/>
          <w:color w:val="auto"/>
          <w:spacing w:val="4"/>
          <w:sz w:val="28"/>
          <w:szCs w:val="28"/>
        </w:rPr>
        <w:t>%。</w:t>
      </w:r>
    </w:p>
    <w:p>
      <w:pPr>
        <w:pStyle w:val="5"/>
      </w:pPr>
      <w:r>
        <w:rPr>
          <w:rFonts w:hint="eastAsia"/>
        </w:rPr>
        <w:t>新建工程</w:t>
      </w:r>
    </w:p>
    <w:p>
      <w:pPr>
        <w:pStyle w:val="3"/>
        <w:ind w:firstLine="576"/>
      </w:pPr>
      <w:r>
        <w:t>推进已完成前期工作的勐阿水库</w:t>
      </w:r>
      <w:r>
        <w:rPr>
          <w:rFonts w:hint="eastAsia"/>
        </w:rPr>
        <w:t>、曼彦</w:t>
      </w:r>
      <w:r>
        <w:t>水库开工建设</w:t>
      </w:r>
      <w:r>
        <w:rPr>
          <w:rFonts w:hint="eastAsia"/>
        </w:rPr>
        <w:t>，</w:t>
      </w:r>
      <w:r>
        <w:t>加快开展</w:t>
      </w:r>
      <w:r>
        <w:rPr>
          <w:rFonts w:hint="eastAsia"/>
          <w:lang w:eastAsia="zh-CN"/>
        </w:rPr>
        <w:t>章朗</w:t>
      </w:r>
      <w:r>
        <w:t>水库</w:t>
      </w:r>
      <w:r>
        <w:rPr>
          <w:rFonts w:hint="eastAsia"/>
        </w:rPr>
        <w:t>、</w:t>
      </w:r>
      <w:r>
        <w:t>布朗山水库前期工作</w:t>
      </w:r>
      <w:r>
        <w:rPr>
          <w:rFonts w:hint="eastAsia"/>
        </w:rPr>
        <w:t>，</w:t>
      </w:r>
      <w:r>
        <w:t>条件具备加快建设。“十四五”规划新建重点水源工程</w:t>
      </w:r>
      <w:r>
        <w:rPr>
          <w:rFonts w:hint="eastAsia"/>
        </w:rPr>
        <w:t>7</w:t>
      </w:r>
      <w:r>
        <w:t>座</w:t>
      </w:r>
      <w:r>
        <w:rPr>
          <w:rFonts w:hint="eastAsia"/>
        </w:rPr>
        <w:t>，</w:t>
      </w:r>
      <w:r>
        <w:t>（新建中型</w:t>
      </w:r>
      <w:r>
        <w:rPr>
          <w:rFonts w:hint="eastAsia"/>
        </w:rPr>
        <w:t>2</w:t>
      </w:r>
      <w:r>
        <w:t>座、</w:t>
      </w:r>
      <w:r>
        <w:rPr>
          <w:rFonts w:hint="eastAsia"/>
        </w:rPr>
        <w:t>新建</w:t>
      </w:r>
      <w:r>
        <w:t>小（一）</w:t>
      </w:r>
      <w:r>
        <w:rPr>
          <w:rFonts w:hint="eastAsia"/>
        </w:rPr>
        <w:t>型5</w:t>
      </w:r>
      <w:r>
        <w:t>座）</w:t>
      </w:r>
      <w:r>
        <w:rPr>
          <w:rFonts w:hint="eastAsia"/>
        </w:rPr>
        <w:t>，</w:t>
      </w:r>
      <w:r>
        <w:t>。规划新增水源工程总库容</w:t>
      </w:r>
      <w:r>
        <w:rPr>
          <w:rFonts w:hint="eastAsia"/>
        </w:rPr>
        <w:t>0.34亿</w:t>
      </w:r>
      <w:r>
        <w:t>m</w:t>
      </w:r>
      <w:r>
        <w:rPr>
          <w:vertAlign w:val="superscript"/>
        </w:rPr>
        <w:t>3</w:t>
      </w:r>
      <w:r>
        <w:t>，水源工程总投资</w:t>
      </w:r>
      <w:r>
        <w:rPr>
          <w:rFonts w:hint="eastAsia"/>
        </w:rPr>
        <w:t>25.6亿</w:t>
      </w:r>
      <w:r>
        <w:t>元</w:t>
      </w:r>
      <w:r>
        <w:rPr>
          <w:rFonts w:hint="eastAsia"/>
        </w:rPr>
        <w:t>。</w:t>
      </w:r>
    </w:p>
    <w:p>
      <w:pPr>
        <w:pStyle w:val="62"/>
        <w:numPr>
          <w:ilvl w:val="0"/>
          <w:numId w:val="5"/>
        </w:numPr>
        <w:spacing w:line="560" w:lineRule="exact"/>
        <w:ind w:firstLineChars="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勐阿</w:t>
      </w:r>
      <w:commentRangeStart w:id="33"/>
      <w:r>
        <w:rPr>
          <w:rFonts w:hint="eastAsia" w:ascii="Times New Roman" w:hAnsi="Times New Roman" w:eastAsia="仿宋_GB2312"/>
          <w:color w:val="auto"/>
          <w:spacing w:val="4"/>
          <w:sz w:val="28"/>
          <w:szCs w:val="28"/>
        </w:rPr>
        <w:t>水库</w:t>
      </w:r>
      <w:commentRangeEnd w:id="33"/>
      <w:r>
        <w:rPr>
          <w:rStyle w:val="39"/>
        </w:rPr>
        <w:commentReference w:id="33"/>
      </w:r>
    </w:p>
    <w:p>
      <w:pPr>
        <w:pStyle w:val="3"/>
        <w:ind w:firstLine="576"/>
      </w:pPr>
      <w:r>
        <w:rPr>
          <w:rFonts w:hint="eastAsia"/>
        </w:rPr>
        <w:t>勐阿水库位于勐阿镇境内勐阿河支流上，坝址控制径流面积</w:t>
      </w:r>
      <w:r>
        <w:t>45.2km</w:t>
      </w:r>
      <w:r>
        <w:rPr>
          <w:rFonts w:hint="eastAsia" w:ascii="宋体" w:hAnsi="宋体" w:eastAsia="宋体" w:cs="宋体"/>
        </w:rPr>
        <w:t>²</w:t>
      </w:r>
      <w:r>
        <w:rPr>
          <w:rFonts w:hint="eastAsia" w:ascii="仿宋_GB2312" w:hAnsi="仿宋_GB2312" w:cs="仿宋_GB2312"/>
        </w:rPr>
        <w:t>，多年平均来水量</w:t>
      </w:r>
      <w:r>
        <w:t>2397</w:t>
      </w:r>
      <w:r>
        <w:rPr>
          <w:rFonts w:hint="eastAsia"/>
        </w:rPr>
        <w:t>万</w:t>
      </w:r>
      <w:r>
        <w:t>m</w:t>
      </w:r>
      <w:r>
        <w:rPr>
          <w:rFonts w:hint="eastAsia" w:ascii="宋体" w:hAnsi="宋体" w:eastAsia="宋体" w:cs="宋体"/>
        </w:rPr>
        <w:t>³</w:t>
      </w:r>
      <w:r>
        <w:rPr>
          <w:rFonts w:hint="eastAsia" w:ascii="仿宋_GB2312" w:hAnsi="仿宋_GB2312" w:cs="仿宋_GB2312"/>
        </w:rPr>
        <w:t>，多年平均输沙总量</w:t>
      </w:r>
      <w:r>
        <w:t>3.46</w:t>
      </w:r>
      <w:r>
        <w:rPr>
          <w:rFonts w:hint="eastAsia"/>
        </w:rPr>
        <w:t>万</w:t>
      </w:r>
      <w:r>
        <w:t>t</w:t>
      </w:r>
      <w:r>
        <w:rPr>
          <w:rFonts w:hint="eastAsia"/>
        </w:rPr>
        <w:t>。勐阿水库为中型水库，水库总库容</w:t>
      </w:r>
      <w:r>
        <w:t>1372.8</w:t>
      </w:r>
      <w:r>
        <w:rPr>
          <w:rFonts w:hint="eastAsia"/>
        </w:rPr>
        <w:t>万</w:t>
      </w:r>
      <w:r>
        <w:t>m</w:t>
      </w:r>
      <w:r>
        <w:rPr>
          <w:rFonts w:hint="eastAsia" w:ascii="宋体" w:hAnsi="宋体" w:eastAsia="宋体" w:cs="宋体"/>
        </w:rPr>
        <w:t>³，</w:t>
      </w:r>
      <w:r>
        <w:rPr>
          <w:rFonts w:hint="eastAsia" w:ascii="仿宋_GB2312" w:hAnsi="仿宋_GB2312" w:cs="仿宋_GB2312"/>
        </w:rPr>
        <w:t>正常库容</w:t>
      </w:r>
      <w:r>
        <w:t>1060.1</w:t>
      </w:r>
      <w:r>
        <w:rPr>
          <w:rFonts w:hint="eastAsia"/>
        </w:rPr>
        <w:t>万</w:t>
      </w:r>
      <w:r>
        <w:t>m</w:t>
      </w:r>
      <w:r>
        <w:rPr>
          <w:rFonts w:hint="eastAsia" w:ascii="宋体" w:hAnsi="宋体" w:eastAsia="宋体" w:cs="宋体"/>
        </w:rPr>
        <w:t>³</w:t>
      </w:r>
      <w:r>
        <w:rPr>
          <w:rFonts w:hint="eastAsia" w:ascii="仿宋_GB2312" w:hAnsi="仿宋_GB2312" w:cs="仿宋_GB2312"/>
        </w:rPr>
        <w:t>，</w:t>
      </w:r>
      <w:r>
        <w:rPr>
          <w:rFonts w:hint="eastAsia"/>
        </w:rPr>
        <w:t>兴利库容</w:t>
      </w:r>
      <w:r>
        <w:t>887.4</w:t>
      </w:r>
      <w:r>
        <w:rPr>
          <w:rFonts w:hint="eastAsia"/>
        </w:rPr>
        <w:t>万</w:t>
      </w:r>
      <w:r>
        <w:t>m</w:t>
      </w:r>
      <w:r>
        <w:rPr>
          <w:rFonts w:hint="eastAsia" w:ascii="宋体" w:hAnsi="宋体" w:eastAsia="宋体" w:cs="宋体"/>
        </w:rPr>
        <w:t>³</w:t>
      </w:r>
      <w:r>
        <w:rPr>
          <w:rFonts w:hint="eastAsia"/>
        </w:rPr>
        <w:t>；水库正常蓄水位</w:t>
      </w:r>
      <w:r>
        <w:t>1403.29m</w:t>
      </w:r>
      <w:r>
        <w:rPr>
          <w:rFonts w:hint="eastAsia"/>
        </w:rPr>
        <w:t>，设计洪水位</w:t>
      </w:r>
      <w:r>
        <w:t>1405.48m</w:t>
      </w:r>
      <w:r>
        <w:rPr>
          <w:rFonts w:hint="eastAsia"/>
        </w:rPr>
        <w:t>，校核洪水位为</w:t>
      </w:r>
      <w:r>
        <w:t>1406.39m</w:t>
      </w:r>
      <w:r>
        <w:rPr>
          <w:rFonts w:hint="eastAsia"/>
        </w:rPr>
        <w:t>，</w:t>
      </w:r>
      <w:r>
        <w:rPr>
          <w:rFonts w:hint="eastAsia" w:ascii="仿宋_GB2312" w:hAnsi="仿宋_GB2312" w:cs="仿宋_GB2312"/>
        </w:rPr>
        <w:t>水库</w:t>
      </w:r>
      <w:r>
        <w:t>P=80%</w:t>
      </w:r>
      <w:r>
        <w:rPr>
          <w:rFonts w:hint="eastAsia"/>
        </w:rPr>
        <w:t>设计供水量</w:t>
      </w:r>
      <w:r>
        <w:t>1271.7</w:t>
      </w:r>
      <w:r>
        <w:rPr>
          <w:rFonts w:hint="eastAsia"/>
        </w:rPr>
        <w:t>万</w:t>
      </w:r>
      <w:r>
        <w:t>m</w:t>
      </w:r>
      <w:r>
        <w:rPr>
          <w:rFonts w:hint="eastAsia" w:ascii="宋体" w:hAnsi="宋体" w:eastAsia="宋体" w:cs="宋体"/>
        </w:rPr>
        <w:t>³</w:t>
      </w:r>
      <w:r>
        <w:rPr>
          <w:rFonts w:hint="eastAsia" w:ascii="仿宋_GB2312" w:hAnsi="仿宋_GB2312" w:cs="仿宋_GB2312"/>
        </w:rPr>
        <w:t>，其中农村生活供水</w:t>
      </w:r>
      <w:r>
        <w:t>52.2</w:t>
      </w:r>
      <w:r>
        <w:rPr>
          <w:rFonts w:hint="eastAsia"/>
        </w:rPr>
        <w:t>万</w:t>
      </w:r>
      <w:r>
        <w:t>m</w:t>
      </w:r>
      <w:r>
        <w:rPr>
          <w:rFonts w:hint="eastAsia" w:ascii="宋体" w:hAnsi="宋体" w:eastAsia="宋体" w:cs="宋体"/>
        </w:rPr>
        <w:t>³</w:t>
      </w:r>
      <w:r>
        <w:rPr>
          <w:rFonts w:hint="eastAsia" w:ascii="仿宋_GB2312" w:hAnsi="仿宋_GB2312" w:cs="仿宋_GB2312"/>
        </w:rPr>
        <w:t>，工业供水</w:t>
      </w:r>
      <w:r>
        <w:t>106.2</w:t>
      </w:r>
      <w:r>
        <w:rPr>
          <w:rFonts w:hint="eastAsia"/>
        </w:rPr>
        <w:t>万</w:t>
      </w:r>
      <w:r>
        <w:t>m</w:t>
      </w:r>
      <w:r>
        <w:rPr>
          <w:rFonts w:hint="eastAsia" w:ascii="宋体" w:hAnsi="宋体" w:eastAsia="宋体" w:cs="宋体"/>
        </w:rPr>
        <w:t>³</w:t>
      </w:r>
      <w:r>
        <w:rPr>
          <w:rFonts w:hint="eastAsia" w:ascii="仿宋_GB2312" w:hAnsi="仿宋_GB2312" w:cs="仿宋_GB2312"/>
        </w:rPr>
        <w:t>，农业灌溉供水</w:t>
      </w:r>
      <w:r>
        <w:t>1113.3</w:t>
      </w:r>
      <w:r>
        <w:rPr>
          <w:rFonts w:hint="eastAsia"/>
        </w:rPr>
        <w:t>万</w:t>
      </w:r>
      <w:r>
        <w:t>m</w:t>
      </w:r>
      <w:r>
        <w:rPr>
          <w:rFonts w:hint="eastAsia" w:ascii="宋体" w:hAnsi="宋体" w:eastAsia="宋体" w:cs="宋体"/>
        </w:rPr>
        <w:t>³</w:t>
      </w:r>
      <w:r>
        <w:rPr>
          <w:rFonts w:hint="eastAsia"/>
        </w:rPr>
        <w:t>。该项目可行性研究报告初稿已完成，目前正在进行项目可行性研究报告复核工作，计划</w:t>
      </w:r>
      <w:r>
        <w:t>202</w:t>
      </w:r>
      <w:r>
        <w:rPr>
          <w:rFonts w:hint="eastAsia"/>
        </w:rPr>
        <w:t>2</w:t>
      </w:r>
      <w:r>
        <w:t>年</w:t>
      </w:r>
      <w:r>
        <w:rPr>
          <w:rFonts w:hint="eastAsia"/>
        </w:rPr>
        <w:t>前</w:t>
      </w:r>
      <w:r>
        <w:t>开工建设。</w:t>
      </w:r>
    </w:p>
    <w:p>
      <w:pPr>
        <w:pStyle w:val="62"/>
        <w:numPr>
          <w:ilvl w:val="0"/>
          <w:numId w:val="5"/>
        </w:numPr>
        <w:spacing w:line="560" w:lineRule="exact"/>
        <w:ind w:firstLineChars="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曼彦</w:t>
      </w:r>
      <w:commentRangeStart w:id="34"/>
      <w:r>
        <w:rPr>
          <w:rFonts w:hint="eastAsia" w:ascii="Times New Roman" w:hAnsi="Times New Roman" w:eastAsia="仿宋_GB2312"/>
          <w:color w:val="auto"/>
          <w:spacing w:val="4"/>
          <w:sz w:val="28"/>
          <w:szCs w:val="28"/>
        </w:rPr>
        <w:t>水库</w:t>
      </w:r>
      <w:commentRangeEnd w:id="34"/>
      <w:r>
        <w:rPr>
          <w:rStyle w:val="39"/>
        </w:rPr>
        <w:commentReference w:id="34"/>
      </w:r>
    </w:p>
    <w:p>
      <w:pPr>
        <w:pStyle w:val="3"/>
        <w:ind w:firstLine="576"/>
      </w:pPr>
      <w:r>
        <w:t>曼彦水库</w:t>
      </w:r>
      <w:r>
        <w:rPr>
          <w:rFonts w:hint="eastAsia"/>
        </w:rPr>
        <w:t>位于澜沧江水系右岸二级支流南览河下游左岸一级支流南庄河，坝址控制径流面积26.3</w:t>
      </w:r>
      <w:r>
        <w:t>km</w:t>
      </w:r>
      <w:r>
        <w:rPr>
          <w:rFonts w:hint="eastAsia" w:ascii="宋体" w:hAnsi="宋体" w:eastAsia="宋体" w:cs="宋体"/>
        </w:rPr>
        <w:t>²</w:t>
      </w:r>
      <w:r>
        <w:rPr>
          <w:rFonts w:hint="eastAsia" w:ascii="仿宋_GB2312" w:hAnsi="仿宋_GB2312" w:cs="仿宋_GB2312"/>
        </w:rPr>
        <w:t>。</w:t>
      </w:r>
      <w:r>
        <w:t>曼彦水库为小</w:t>
      </w:r>
      <w:r>
        <w:rPr>
          <w:rFonts w:hint="eastAsia"/>
        </w:rPr>
        <w:t>（一）型水库，水库正常蓄水位756.4</w:t>
      </w:r>
      <w:r>
        <w:t>m</w:t>
      </w:r>
      <w:r>
        <w:rPr>
          <w:rFonts w:hint="eastAsia"/>
        </w:rPr>
        <w:t>，</w:t>
      </w:r>
      <w:r>
        <w:rPr>
          <w:rFonts w:hint="eastAsia" w:ascii="仿宋_GB2312" w:hAnsi="仿宋_GB2312" w:cs="仿宋_GB2312"/>
        </w:rPr>
        <w:t>正常库容</w:t>
      </w:r>
      <w:r>
        <w:rPr>
          <w:rFonts w:hint="eastAsia"/>
        </w:rPr>
        <w:t>368.37万</w:t>
      </w:r>
      <w:r>
        <w:t>m</w:t>
      </w:r>
      <w:r>
        <w:rPr>
          <w:rFonts w:hint="eastAsia" w:ascii="宋体" w:hAnsi="宋体" w:eastAsia="宋体" w:cs="宋体"/>
        </w:rPr>
        <w:t>³</w:t>
      </w:r>
      <w:r>
        <w:rPr>
          <w:rFonts w:hint="eastAsia" w:ascii="仿宋_GB2312" w:hAnsi="仿宋_GB2312" w:cs="仿宋_GB2312"/>
        </w:rPr>
        <w:t>，</w:t>
      </w:r>
      <w:r>
        <w:rPr>
          <w:rFonts w:hint="eastAsia"/>
        </w:rPr>
        <w:t>设计洪水位</w:t>
      </w:r>
      <w:r>
        <w:t>1405.48m</w:t>
      </w:r>
      <w:r>
        <w:rPr>
          <w:rFonts w:hint="eastAsia"/>
        </w:rPr>
        <w:t>，校核洪水位为</w:t>
      </w:r>
      <w:r>
        <w:t>1406.39m</w:t>
      </w:r>
      <w:r>
        <w:rPr>
          <w:rFonts w:hint="eastAsia"/>
        </w:rPr>
        <w:t>，</w:t>
      </w:r>
      <w:r>
        <w:rPr>
          <w:rFonts w:hint="eastAsia" w:ascii="仿宋_GB2312" w:hAnsi="仿宋_GB2312" w:cs="仿宋_GB2312"/>
        </w:rPr>
        <w:t>水库</w:t>
      </w:r>
      <w:r>
        <w:t>P=80%</w:t>
      </w:r>
      <w:r>
        <w:rPr>
          <w:rFonts w:hint="eastAsia"/>
        </w:rPr>
        <w:t>设计供水量753.2万</w:t>
      </w:r>
      <w:r>
        <w:t>m</w:t>
      </w:r>
      <w:r>
        <w:rPr>
          <w:rFonts w:hint="eastAsia" w:ascii="宋体" w:hAnsi="宋体" w:eastAsia="宋体" w:cs="宋体"/>
        </w:rPr>
        <w:t>³</w:t>
      </w:r>
      <w:r>
        <w:rPr>
          <w:rFonts w:hint="eastAsia" w:ascii="仿宋_GB2312" w:hAnsi="仿宋_GB2312" w:cs="仿宋_GB2312"/>
        </w:rPr>
        <w:t>，其中农业灌溉供水</w:t>
      </w:r>
      <w:r>
        <w:rPr>
          <w:rFonts w:hint="eastAsia"/>
        </w:rPr>
        <w:t>653.7万</w:t>
      </w:r>
      <w:r>
        <w:t>m</w:t>
      </w:r>
      <w:r>
        <w:rPr>
          <w:rFonts w:hint="eastAsia" w:ascii="宋体" w:hAnsi="宋体" w:eastAsia="宋体" w:cs="宋体"/>
        </w:rPr>
        <w:t>³</w:t>
      </w:r>
      <w:r>
        <w:rPr>
          <w:rFonts w:hint="eastAsia"/>
        </w:rPr>
        <w:t>，</w:t>
      </w:r>
      <w:r>
        <w:rPr>
          <w:rFonts w:hint="eastAsia" w:ascii="仿宋_GB2312" w:hAnsi="仿宋_GB2312" w:cs="仿宋_GB2312"/>
        </w:rPr>
        <w:t>农村生活供水</w:t>
      </w:r>
      <w:r>
        <w:rPr>
          <w:rFonts w:hint="eastAsia"/>
        </w:rPr>
        <w:t>99.5万</w:t>
      </w:r>
      <w:r>
        <w:t>m</w:t>
      </w:r>
      <w:r>
        <w:rPr>
          <w:rFonts w:hint="eastAsia" w:ascii="宋体" w:hAnsi="宋体" w:eastAsia="宋体" w:cs="宋体"/>
        </w:rPr>
        <w:t>³。</w:t>
      </w:r>
      <w:r>
        <w:t>该项目</w:t>
      </w:r>
      <w:r>
        <w:rPr>
          <w:rFonts w:hint="eastAsia"/>
        </w:rPr>
        <w:t>可行性研究报告已批，</w:t>
      </w:r>
      <w:r>
        <w:t>目前正在进行项目</w:t>
      </w:r>
      <w:r>
        <w:rPr>
          <w:rFonts w:hint="eastAsia"/>
        </w:rPr>
        <w:t>初步设计报批</w:t>
      </w:r>
      <w:r>
        <w:t>工作，计划</w:t>
      </w:r>
      <w:r>
        <w:rPr>
          <w:rFonts w:hint="eastAsia"/>
        </w:rPr>
        <w:t>在</w:t>
      </w:r>
      <w:r>
        <w:t>十四五前开工</w:t>
      </w:r>
      <w:r>
        <w:rPr>
          <w:rFonts w:hint="eastAsia"/>
        </w:rPr>
        <w:t>建设</w:t>
      </w:r>
      <w:r>
        <w:t>。</w:t>
      </w:r>
    </w:p>
    <w:p>
      <w:pPr>
        <w:pStyle w:val="13"/>
        <w:rPr>
          <w:rFonts w:hint="eastAsia"/>
        </w:rPr>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t>.</w:t>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勐海县</w:t>
      </w:r>
      <w:r>
        <w:t>“十</w:t>
      </w:r>
      <w:r>
        <w:rPr>
          <w:rStyle w:val="50"/>
        </w:rPr>
        <w:t>四五”</w:t>
      </w:r>
      <w:r>
        <w:t>规划重点水源工程项目表</w:t>
      </w:r>
    </w:p>
    <w:tbl>
      <w:tblPr>
        <w:tblStyle w:val="32"/>
        <w:tblW w:w="8936" w:type="dxa"/>
        <w:tblInd w:w="0" w:type="dxa"/>
        <w:tblLayout w:type="fixed"/>
        <w:tblCellMar>
          <w:top w:w="0" w:type="dxa"/>
          <w:left w:w="108" w:type="dxa"/>
          <w:bottom w:w="0" w:type="dxa"/>
          <w:right w:w="108" w:type="dxa"/>
        </w:tblCellMar>
      </w:tblPr>
      <w:tblGrid>
        <w:gridCol w:w="530"/>
        <w:gridCol w:w="2016"/>
        <w:gridCol w:w="1216"/>
        <w:gridCol w:w="1273"/>
        <w:gridCol w:w="1203"/>
        <w:gridCol w:w="886"/>
        <w:gridCol w:w="940"/>
        <w:gridCol w:w="872"/>
      </w:tblGrid>
      <w:tr>
        <w:tblPrEx>
          <w:tblLayout w:type="fixed"/>
          <w:tblCellMar>
            <w:top w:w="0" w:type="dxa"/>
            <w:left w:w="108" w:type="dxa"/>
            <w:bottom w:w="0" w:type="dxa"/>
            <w:right w:w="108" w:type="dxa"/>
          </w:tblCellMar>
        </w:tblPrEx>
        <w:trPr>
          <w:trHeight w:val="576" w:hRule="atLeast"/>
        </w:trPr>
        <w:tc>
          <w:tcPr>
            <w:tcW w:w="530" w:type="dxa"/>
            <w:tcBorders>
              <w:top w:val="single" w:color="auto" w:sz="8" w:space="0"/>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hint="eastAsia"/>
                <w:color w:val="auto"/>
                <w:kern w:val="0"/>
                <w:sz w:val="20"/>
                <w:szCs w:val="20"/>
              </w:rPr>
              <w:t>序号</w:t>
            </w:r>
          </w:p>
        </w:tc>
        <w:tc>
          <w:tcPr>
            <w:tcW w:w="2016"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hint="eastAsia"/>
                <w:kern w:val="0"/>
                <w:sz w:val="20"/>
                <w:szCs w:val="20"/>
              </w:rPr>
              <w:t>水库名称</w:t>
            </w:r>
          </w:p>
        </w:tc>
        <w:tc>
          <w:tcPr>
            <w:tcW w:w="1216"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hint="eastAsia"/>
                <w:kern w:val="0"/>
                <w:sz w:val="20"/>
                <w:szCs w:val="20"/>
              </w:rPr>
              <w:t>所在河流</w:t>
            </w:r>
          </w:p>
        </w:tc>
        <w:tc>
          <w:tcPr>
            <w:tcW w:w="1273"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hint="eastAsia" w:ascii="仿宋" w:hAnsi="仿宋" w:eastAsia="仿宋"/>
                <w:kern w:val="0"/>
                <w:sz w:val="20"/>
                <w:szCs w:val="20"/>
              </w:rPr>
              <w:t>坝址控制流域面积</w:t>
            </w:r>
            <w:r>
              <w:rPr>
                <w:rFonts w:ascii="Times New Roman" w:hAnsi="Times New Roman"/>
                <w:kern w:val="0"/>
                <w:sz w:val="20"/>
                <w:szCs w:val="20"/>
              </w:rPr>
              <w:t>(km</w:t>
            </w:r>
            <w:r>
              <w:rPr>
                <w:rFonts w:ascii="Times New Roman" w:hAnsi="Times New Roman"/>
                <w:kern w:val="0"/>
                <w:sz w:val="20"/>
                <w:szCs w:val="20"/>
                <w:vertAlign w:val="superscript"/>
              </w:rPr>
              <w:t>2</w:t>
            </w:r>
            <w:r>
              <w:rPr>
                <w:rFonts w:ascii="Times New Roman" w:hAnsi="Times New Roman"/>
                <w:kern w:val="0"/>
                <w:sz w:val="20"/>
                <w:szCs w:val="20"/>
              </w:rPr>
              <w:t>)</w:t>
            </w:r>
          </w:p>
        </w:tc>
        <w:tc>
          <w:tcPr>
            <w:tcW w:w="1203"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kern w:val="0"/>
                <w:sz w:val="20"/>
                <w:szCs w:val="20"/>
              </w:rPr>
            </w:pPr>
            <w:r>
              <w:rPr>
                <w:rFonts w:hint="eastAsia" w:ascii="仿宋" w:hAnsi="仿宋" w:eastAsia="仿宋"/>
                <w:kern w:val="0"/>
                <w:sz w:val="20"/>
                <w:szCs w:val="20"/>
              </w:rPr>
              <w:t>多年平均径流量</w:t>
            </w:r>
          </w:p>
          <w:p>
            <w:pPr>
              <w:widowControl/>
              <w:jc w:val="center"/>
              <w:rPr>
                <w:rFonts w:ascii="Times New Roman" w:hAnsi="Times New Roman"/>
                <w:kern w:val="0"/>
                <w:sz w:val="20"/>
                <w:szCs w:val="20"/>
              </w:rPr>
            </w:pPr>
            <w:r>
              <w:rPr>
                <w:rFonts w:ascii="Times New Roman" w:hAnsi="Times New Roman"/>
                <w:kern w:val="0"/>
                <w:sz w:val="20"/>
                <w:szCs w:val="20"/>
              </w:rPr>
              <w:t>(</w:t>
            </w:r>
            <w:r>
              <w:rPr>
                <w:rFonts w:hint="eastAsia" w:ascii="仿宋" w:hAnsi="仿宋" w:eastAsia="仿宋"/>
                <w:kern w:val="0"/>
                <w:sz w:val="20"/>
                <w:szCs w:val="20"/>
              </w:rPr>
              <w:t>万</w:t>
            </w:r>
            <w:r>
              <w:rPr>
                <w:rFonts w:ascii="Times New Roman" w:hAnsi="Times New Roman"/>
                <w:kern w:val="0"/>
                <w:sz w:val="20"/>
                <w:szCs w:val="20"/>
              </w:rPr>
              <w:t>m³)</w:t>
            </w:r>
          </w:p>
        </w:tc>
        <w:tc>
          <w:tcPr>
            <w:tcW w:w="886"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hint="eastAsia" w:ascii="仿宋" w:hAnsi="仿宋" w:eastAsia="仿宋"/>
                <w:kern w:val="0"/>
                <w:sz w:val="20"/>
                <w:szCs w:val="20"/>
              </w:rPr>
              <w:t>总库容（亿</w:t>
            </w:r>
            <w:r>
              <w:rPr>
                <w:rFonts w:ascii="Times New Roman" w:hAnsi="Times New Roman"/>
                <w:kern w:val="0"/>
                <w:sz w:val="20"/>
                <w:szCs w:val="20"/>
              </w:rPr>
              <w:t>m³</w:t>
            </w:r>
            <w:r>
              <w:rPr>
                <w:rFonts w:hint="eastAsia" w:ascii="仿宋" w:hAnsi="仿宋" w:eastAsia="仿宋"/>
                <w:kern w:val="0"/>
                <w:sz w:val="20"/>
                <w:szCs w:val="20"/>
              </w:rPr>
              <w:t>）</w:t>
            </w:r>
          </w:p>
        </w:tc>
        <w:tc>
          <w:tcPr>
            <w:tcW w:w="940"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hint="eastAsia" w:ascii="仿宋" w:hAnsi="仿宋" w:eastAsia="仿宋"/>
                <w:kern w:val="0"/>
                <w:sz w:val="20"/>
                <w:szCs w:val="20"/>
              </w:rPr>
              <w:t>总供水量（万</w:t>
            </w:r>
            <w:r>
              <w:rPr>
                <w:rFonts w:ascii="Times New Roman" w:hAnsi="Times New Roman"/>
                <w:kern w:val="0"/>
                <w:sz w:val="20"/>
                <w:szCs w:val="20"/>
              </w:rPr>
              <w:t>m³</w:t>
            </w:r>
            <w:r>
              <w:rPr>
                <w:rFonts w:hint="eastAsia" w:ascii="仿宋" w:hAnsi="仿宋" w:eastAsia="仿宋"/>
                <w:kern w:val="0"/>
                <w:sz w:val="20"/>
                <w:szCs w:val="20"/>
              </w:rPr>
              <w:t>）</w:t>
            </w:r>
          </w:p>
        </w:tc>
        <w:tc>
          <w:tcPr>
            <w:tcW w:w="872" w:type="dxa"/>
            <w:tcBorders>
              <w:top w:val="single" w:color="auto" w:sz="8" w:space="0"/>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 w:hAnsi="仿宋" w:eastAsia="仿宋"/>
                <w:kern w:val="0"/>
                <w:sz w:val="20"/>
                <w:szCs w:val="20"/>
              </w:rPr>
              <w:t>总投资（亿元）</w:t>
            </w:r>
          </w:p>
        </w:tc>
      </w:tr>
      <w:tr>
        <w:tblPrEx>
          <w:tblLayout w:type="fixed"/>
          <w:tblCellMar>
            <w:top w:w="0" w:type="dxa"/>
            <w:left w:w="108" w:type="dxa"/>
            <w:bottom w:w="0" w:type="dxa"/>
            <w:right w:w="108" w:type="dxa"/>
          </w:tblCellMar>
        </w:tblPrEx>
        <w:trPr>
          <w:trHeight w:val="288" w:hRule="atLeast"/>
        </w:trPr>
        <w:tc>
          <w:tcPr>
            <w:tcW w:w="530"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1</w:t>
            </w:r>
          </w:p>
        </w:tc>
        <w:tc>
          <w:tcPr>
            <w:tcW w:w="201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勐阿水库</w:t>
            </w:r>
          </w:p>
        </w:tc>
        <w:tc>
          <w:tcPr>
            <w:tcW w:w="121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猴子河</w:t>
            </w:r>
          </w:p>
        </w:tc>
        <w:tc>
          <w:tcPr>
            <w:tcW w:w="12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40.7</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0.22</w:t>
            </w:r>
          </w:p>
        </w:tc>
        <w:tc>
          <w:tcPr>
            <w:tcW w:w="8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0.11</w:t>
            </w:r>
          </w:p>
        </w:tc>
        <w:tc>
          <w:tcPr>
            <w:tcW w:w="94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1235.7</w:t>
            </w:r>
          </w:p>
        </w:tc>
        <w:tc>
          <w:tcPr>
            <w:tcW w:w="872" w:type="dxa"/>
            <w:tcBorders>
              <w:top w:val="nil"/>
              <w:left w:val="nil"/>
              <w:bottom w:val="single" w:color="auto" w:sz="4" w:space="0"/>
              <w:right w:val="single" w:color="auto" w:sz="8"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4.98</w:t>
            </w:r>
          </w:p>
        </w:tc>
      </w:tr>
      <w:tr>
        <w:tblPrEx>
          <w:tblLayout w:type="fixed"/>
          <w:tblCellMar>
            <w:top w:w="0" w:type="dxa"/>
            <w:left w:w="108" w:type="dxa"/>
            <w:bottom w:w="0" w:type="dxa"/>
            <w:right w:w="108" w:type="dxa"/>
          </w:tblCellMar>
        </w:tblPrEx>
        <w:trPr>
          <w:trHeight w:val="288" w:hRule="atLeast"/>
        </w:trPr>
        <w:tc>
          <w:tcPr>
            <w:tcW w:w="530"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2</w:t>
            </w:r>
          </w:p>
        </w:tc>
        <w:tc>
          <w:tcPr>
            <w:tcW w:w="201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曼彦水库</w:t>
            </w:r>
          </w:p>
        </w:tc>
        <w:tc>
          <w:tcPr>
            <w:tcW w:w="121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南庄河</w:t>
            </w:r>
          </w:p>
        </w:tc>
        <w:tc>
          <w:tcPr>
            <w:tcW w:w="12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26.3</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0.22</w:t>
            </w:r>
          </w:p>
        </w:tc>
        <w:tc>
          <w:tcPr>
            <w:tcW w:w="8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0.038</w:t>
            </w:r>
          </w:p>
        </w:tc>
        <w:tc>
          <w:tcPr>
            <w:tcW w:w="94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802.7</w:t>
            </w:r>
          </w:p>
        </w:tc>
        <w:tc>
          <w:tcPr>
            <w:tcW w:w="872" w:type="dxa"/>
            <w:tcBorders>
              <w:top w:val="nil"/>
              <w:left w:val="nil"/>
              <w:bottom w:val="single" w:color="auto" w:sz="4" w:space="0"/>
              <w:right w:val="single" w:color="auto" w:sz="8"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1.85</w:t>
            </w:r>
          </w:p>
        </w:tc>
      </w:tr>
      <w:tr>
        <w:tblPrEx>
          <w:tblLayout w:type="fixed"/>
          <w:tblCellMar>
            <w:top w:w="0" w:type="dxa"/>
            <w:left w:w="108" w:type="dxa"/>
            <w:bottom w:w="0" w:type="dxa"/>
            <w:right w:w="108" w:type="dxa"/>
          </w:tblCellMar>
        </w:tblPrEx>
        <w:trPr>
          <w:trHeight w:val="288" w:hRule="atLeast"/>
        </w:trPr>
        <w:tc>
          <w:tcPr>
            <w:tcW w:w="530"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3</w:t>
            </w:r>
          </w:p>
        </w:tc>
        <w:tc>
          <w:tcPr>
            <w:tcW w:w="201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hint="eastAsia" w:ascii="Times New Roman" w:hAnsi="Times New Roman"/>
                <w:kern w:val="0"/>
                <w:sz w:val="20"/>
                <w:szCs w:val="20"/>
                <w:lang w:eastAsia="zh-CN"/>
              </w:rPr>
              <w:t>章朗</w:t>
            </w:r>
            <w:r>
              <w:rPr>
                <w:rFonts w:ascii="Times New Roman" w:hAnsi="Times New Roman"/>
                <w:kern w:val="0"/>
                <w:sz w:val="20"/>
                <w:szCs w:val="20"/>
              </w:rPr>
              <w:t>水库</w:t>
            </w:r>
          </w:p>
        </w:tc>
        <w:tc>
          <w:tcPr>
            <w:tcW w:w="121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南卡河</w:t>
            </w:r>
          </w:p>
        </w:tc>
        <w:tc>
          <w:tcPr>
            <w:tcW w:w="12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43.1</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0.26</w:t>
            </w:r>
          </w:p>
        </w:tc>
        <w:tc>
          <w:tcPr>
            <w:tcW w:w="8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0.15</w:t>
            </w:r>
          </w:p>
        </w:tc>
        <w:tc>
          <w:tcPr>
            <w:tcW w:w="94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1655.2</w:t>
            </w:r>
          </w:p>
        </w:tc>
        <w:tc>
          <w:tcPr>
            <w:tcW w:w="872" w:type="dxa"/>
            <w:tcBorders>
              <w:top w:val="nil"/>
              <w:left w:val="nil"/>
              <w:bottom w:val="single" w:color="auto" w:sz="4" w:space="0"/>
              <w:right w:val="single" w:color="auto" w:sz="8"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5.5</w:t>
            </w:r>
          </w:p>
        </w:tc>
      </w:tr>
      <w:tr>
        <w:tblPrEx>
          <w:tblLayout w:type="fixed"/>
          <w:tblCellMar>
            <w:top w:w="0" w:type="dxa"/>
            <w:left w:w="108" w:type="dxa"/>
            <w:bottom w:w="0" w:type="dxa"/>
            <w:right w:w="108" w:type="dxa"/>
          </w:tblCellMar>
        </w:tblPrEx>
        <w:trPr>
          <w:trHeight w:val="288" w:hRule="atLeast"/>
        </w:trPr>
        <w:tc>
          <w:tcPr>
            <w:tcW w:w="530"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4</w:t>
            </w:r>
          </w:p>
        </w:tc>
        <w:tc>
          <w:tcPr>
            <w:tcW w:w="201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曼先水库</w:t>
            </w:r>
          </w:p>
        </w:tc>
        <w:tc>
          <w:tcPr>
            <w:tcW w:w="121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帕宫河</w:t>
            </w:r>
          </w:p>
        </w:tc>
        <w:tc>
          <w:tcPr>
            <w:tcW w:w="12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6.1</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0.04</w:t>
            </w:r>
          </w:p>
        </w:tc>
        <w:tc>
          <w:tcPr>
            <w:tcW w:w="8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0.025</w:t>
            </w:r>
          </w:p>
        </w:tc>
        <w:tc>
          <w:tcPr>
            <w:tcW w:w="94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245.16</w:t>
            </w:r>
          </w:p>
        </w:tc>
        <w:tc>
          <w:tcPr>
            <w:tcW w:w="872" w:type="dxa"/>
            <w:tcBorders>
              <w:top w:val="nil"/>
              <w:left w:val="nil"/>
              <w:bottom w:val="single" w:color="auto" w:sz="4" w:space="0"/>
              <w:right w:val="single" w:color="auto" w:sz="8"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1.12</w:t>
            </w:r>
          </w:p>
        </w:tc>
      </w:tr>
      <w:tr>
        <w:tblPrEx>
          <w:tblLayout w:type="fixed"/>
          <w:tblCellMar>
            <w:top w:w="0" w:type="dxa"/>
            <w:left w:w="108" w:type="dxa"/>
            <w:bottom w:w="0" w:type="dxa"/>
            <w:right w:w="108" w:type="dxa"/>
          </w:tblCellMar>
        </w:tblPrEx>
        <w:trPr>
          <w:trHeight w:val="288" w:hRule="atLeast"/>
        </w:trPr>
        <w:tc>
          <w:tcPr>
            <w:tcW w:w="530"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5</w:t>
            </w:r>
          </w:p>
        </w:tc>
        <w:tc>
          <w:tcPr>
            <w:tcW w:w="201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曼桂水库</w:t>
            </w:r>
          </w:p>
        </w:tc>
        <w:tc>
          <w:tcPr>
            <w:tcW w:w="121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南遮河</w:t>
            </w:r>
          </w:p>
        </w:tc>
        <w:tc>
          <w:tcPr>
            <w:tcW w:w="12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16.6</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0.978</w:t>
            </w:r>
          </w:p>
        </w:tc>
        <w:tc>
          <w:tcPr>
            <w:tcW w:w="8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0.1112</w:t>
            </w:r>
          </w:p>
        </w:tc>
        <w:tc>
          <w:tcPr>
            <w:tcW w:w="94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1223.2</w:t>
            </w:r>
          </w:p>
        </w:tc>
        <w:tc>
          <w:tcPr>
            <w:tcW w:w="872" w:type="dxa"/>
            <w:tcBorders>
              <w:top w:val="nil"/>
              <w:left w:val="nil"/>
              <w:bottom w:val="single" w:color="auto" w:sz="4" w:space="0"/>
              <w:right w:val="single" w:color="auto" w:sz="8"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4.85</w:t>
            </w:r>
          </w:p>
        </w:tc>
      </w:tr>
      <w:tr>
        <w:tblPrEx>
          <w:tblLayout w:type="fixed"/>
          <w:tblCellMar>
            <w:top w:w="0" w:type="dxa"/>
            <w:left w:w="108" w:type="dxa"/>
            <w:bottom w:w="0" w:type="dxa"/>
            <w:right w:w="108" w:type="dxa"/>
          </w:tblCellMar>
        </w:tblPrEx>
        <w:trPr>
          <w:trHeight w:val="288" w:hRule="atLeast"/>
        </w:trPr>
        <w:tc>
          <w:tcPr>
            <w:tcW w:w="530"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6</w:t>
            </w:r>
          </w:p>
        </w:tc>
        <w:tc>
          <w:tcPr>
            <w:tcW w:w="201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曼老水库改扩建工程</w:t>
            </w:r>
          </w:p>
        </w:tc>
        <w:tc>
          <w:tcPr>
            <w:tcW w:w="121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流沙河</w:t>
            </w:r>
          </w:p>
        </w:tc>
        <w:tc>
          <w:tcPr>
            <w:tcW w:w="12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4.5</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0.032</w:t>
            </w:r>
          </w:p>
        </w:tc>
        <w:tc>
          <w:tcPr>
            <w:tcW w:w="886"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0.035</w:t>
            </w:r>
          </w:p>
        </w:tc>
        <w:tc>
          <w:tcPr>
            <w:tcW w:w="940"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312.5</w:t>
            </w:r>
          </w:p>
        </w:tc>
        <w:tc>
          <w:tcPr>
            <w:tcW w:w="872" w:type="dxa"/>
            <w:tcBorders>
              <w:top w:val="nil"/>
              <w:left w:val="nil"/>
              <w:bottom w:val="single" w:color="auto" w:sz="4" w:space="0"/>
              <w:right w:val="single" w:color="auto" w:sz="8"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1.2</w:t>
            </w:r>
          </w:p>
        </w:tc>
      </w:tr>
      <w:tr>
        <w:tblPrEx>
          <w:tblLayout w:type="fixed"/>
          <w:tblCellMar>
            <w:top w:w="0" w:type="dxa"/>
            <w:left w:w="108" w:type="dxa"/>
            <w:bottom w:w="0" w:type="dxa"/>
            <w:right w:w="108" w:type="dxa"/>
          </w:tblCellMar>
        </w:tblPrEx>
        <w:trPr>
          <w:trHeight w:val="300" w:hRule="atLeast"/>
        </w:trPr>
        <w:tc>
          <w:tcPr>
            <w:tcW w:w="530" w:type="dxa"/>
            <w:tcBorders>
              <w:top w:val="nil"/>
              <w:left w:val="single" w:color="auto" w:sz="8" w:space="0"/>
              <w:bottom w:val="single" w:color="auto" w:sz="8"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7</w:t>
            </w:r>
          </w:p>
        </w:tc>
        <w:tc>
          <w:tcPr>
            <w:tcW w:w="2016" w:type="dxa"/>
            <w:tcBorders>
              <w:top w:val="nil"/>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布朗山水库</w:t>
            </w:r>
          </w:p>
        </w:tc>
        <w:tc>
          <w:tcPr>
            <w:tcW w:w="1216" w:type="dxa"/>
            <w:tcBorders>
              <w:top w:val="nil"/>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南啊河支流</w:t>
            </w:r>
          </w:p>
        </w:tc>
        <w:tc>
          <w:tcPr>
            <w:tcW w:w="1273"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10.2</w:t>
            </w:r>
          </w:p>
        </w:tc>
        <w:tc>
          <w:tcPr>
            <w:tcW w:w="1203" w:type="dxa"/>
            <w:tcBorders>
              <w:top w:val="nil"/>
              <w:left w:val="nil"/>
              <w:bottom w:val="single" w:color="auto" w:sz="8"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0.035</w:t>
            </w:r>
          </w:p>
        </w:tc>
        <w:tc>
          <w:tcPr>
            <w:tcW w:w="886" w:type="dxa"/>
            <w:tcBorders>
              <w:top w:val="nil"/>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0.03</w:t>
            </w:r>
          </w:p>
        </w:tc>
        <w:tc>
          <w:tcPr>
            <w:tcW w:w="940" w:type="dxa"/>
            <w:tcBorders>
              <w:top w:val="nil"/>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245.6</w:t>
            </w:r>
          </w:p>
        </w:tc>
        <w:tc>
          <w:tcPr>
            <w:tcW w:w="872" w:type="dxa"/>
            <w:tcBorders>
              <w:top w:val="nil"/>
              <w:left w:val="nil"/>
              <w:bottom w:val="single" w:color="auto" w:sz="8" w:space="0"/>
              <w:right w:val="single" w:color="auto" w:sz="8"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1.6</w:t>
            </w:r>
          </w:p>
        </w:tc>
      </w:tr>
      <w:tr>
        <w:tblPrEx>
          <w:tblLayout w:type="fixed"/>
          <w:tblCellMar>
            <w:top w:w="0" w:type="dxa"/>
            <w:left w:w="108" w:type="dxa"/>
            <w:bottom w:w="0" w:type="dxa"/>
            <w:right w:w="108" w:type="dxa"/>
          </w:tblCellMar>
        </w:tblPrEx>
        <w:trPr>
          <w:trHeight w:val="300" w:hRule="atLeast"/>
        </w:trPr>
        <w:tc>
          <w:tcPr>
            <w:tcW w:w="530" w:type="dxa"/>
            <w:tcBorders>
              <w:top w:val="single" w:color="auto" w:sz="4" w:space="0"/>
              <w:left w:val="single" w:color="auto" w:sz="8" w:space="0"/>
              <w:bottom w:val="single" w:color="auto" w:sz="8"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8</w:t>
            </w:r>
          </w:p>
        </w:tc>
        <w:tc>
          <w:tcPr>
            <w:tcW w:w="2016"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田新水库</w:t>
            </w:r>
          </w:p>
        </w:tc>
        <w:tc>
          <w:tcPr>
            <w:tcW w:w="1216"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平田河</w:t>
            </w:r>
          </w:p>
        </w:tc>
        <w:tc>
          <w:tcPr>
            <w:tcW w:w="1273" w:type="dxa"/>
            <w:tcBorders>
              <w:top w:val="single" w:color="auto" w:sz="4" w:space="0"/>
              <w:left w:val="nil"/>
              <w:bottom w:val="single" w:color="auto" w:sz="8"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8.3</w:t>
            </w:r>
          </w:p>
        </w:tc>
        <w:tc>
          <w:tcPr>
            <w:tcW w:w="1203" w:type="dxa"/>
            <w:tcBorders>
              <w:top w:val="single" w:color="auto" w:sz="4" w:space="0"/>
              <w:left w:val="nil"/>
              <w:bottom w:val="single" w:color="auto" w:sz="8"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0.03</w:t>
            </w:r>
          </w:p>
        </w:tc>
        <w:tc>
          <w:tcPr>
            <w:tcW w:w="886"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0.025</w:t>
            </w:r>
          </w:p>
        </w:tc>
        <w:tc>
          <w:tcPr>
            <w:tcW w:w="940"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232</w:t>
            </w:r>
          </w:p>
        </w:tc>
        <w:tc>
          <w:tcPr>
            <w:tcW w:w="872" w:type="dxa"/>
            <w:tcBorders>
              <w:top w:val="single" w:color="auto" w:sz="4" w:space="0"/>
              <w:left w:val="nil"/>
              <w:bottom w:val="single" w:color="auto" w:sz="8" w:space="0"/>
              <w:right w:val="single" w:color="auto" w:sz="8"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1.5</w:t>
            </w:r>
          </w:p>
        </w:tc>
      </w:tr>
      <w:tr>
        <w:tblPrEx>
          <w:tblLayout w:type="fixed"/>
          <w:tblCellMar>
            <w:top w:w="0" w:type="dxa"/>
            <w:left w:w="108" w:type="dxa"/>
            <w:bottom w:w="0" w:type="dxa"/>
            <w:right w:w="108" w:type="dxa"/>
          </w:tblCellMar>
        </w:tblPrEx>
        <w:trPr>
          <w:trHeight w:val="300" w:hRule="atLeast"/>
        </w:trPr>
        <w:tc>
          <w:tcPr>
            <w:tcW w:w="530" w:type="dxa"/>
            <w:tcBorders>
              <w:top w:val="single" w:color="auto" w:sz="4" w:space="0"/>
              <w:left w:val="single" w:color="auto" w:sz="8" w:space="0"/>
              <w:bottom w:val="single" w:color="auto" w:sz="8"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9</w:t>
            </w:r>
          </w:p>
        </w:tc>
        <w:tc>
          <w:tcPr>
            <w:tcW w:w="2016"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曼稿水库</w:t>
            </w:r>
          </w:p>
        </w:tc>
        <w:tc>
          <w:tcPr>
            <w:tcW w:w="1216"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流沙河支流</w:t>
            </w:r>
          </w:p>
        </w:tc>
        <w:tc>
          <w:tcPr>
            <w:tcW w:w="1273" w:type="dxa"/>
            <w:tcBorders>
              <w:top w:val="single" w:color="auto" w:sz="4" w:space="0"/>
              <w:left w:val="nil"/>
              <w:bottom w:val="single" w:color="auto" w:sz="8"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7.6</w:t>
            </w:r>
          </w:p>
        </w:tc>
        <w:tc>
          <w:tcPr>
            <w:tcW w:w="1203" w:type="dxa"/>
            <w:tcBorders>
              <w:top w:val="single" w:color="auto" w:sz="4" w:space="0"/>
              <w:left w:val="nil"/>
              <w:bottom w:val="single" w:color="auto" w:sz="8"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0.038</w:t>
            </w:r>
          </w:p>
        </w:tc>
        <w:tc>
          <w:tcPr>
            <w:tcW w:w="886"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0.03</w:t>
            </w:r>
          </w:p>
        </w:tc>
        <w:tc>
          <w:tcPr>
            <w:tcW w:w="940"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248</w:t>
            </w:r>
          </w:p>
        </w:tc>
        <w:tc>
          <w:tcPr>
            <w:tcW w:w="872" w:type="dxa"/>
            <w:tcBorders>
              <w:top w:val="single" w:color="auto" w:sz="4" w:space="0"/>
              <w:left w:val="nil"/>
              <w:bottom w:val="single" w:color="auto" w:sz="8" w:space="0"/>
              <w:right w:val="single" w:color="auto" w:sz="8"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1.5</w:t>
            </w:r>
          </w:p>
        </w:tc>
      </w:tr>
      <w:tr>
        <w:tblPrEx>
          <w:tblLayout w:type="fixed"/>
          <w:tblCellMar>
            <w:top w:w="0" w:type="dxa"/>
            <w:left w:w="108" w:type="dxa"/>
            <w:bottom w:w="0" w:type="dxa"/>
            <w:right w:w="108" w:type="dxa"/>
          </w:tblCellMar>
        </w:tblPrEx>
        <w:trPr>
          <w:trHeight w:val="300" w:hRule="atLeast"/>
        </w:trPr>
        <w:tc>
          <w:tcPr>
            <w:tcW w:w="530" w:type="dxa"/>
            <w:tcBorders>
              <w:top w:val="single" w:color="auto" w:sz="4" w:space="0"/>
              <w:left w:val="single" w:color="auto" w:sz="8" w:space="0"/>
              <w:bottom w:val="single" w:color="auto" w:sz="8"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10</w:t>
            </w:r>
          </w:p>
        </w:tc>
        <w:tc>
          <w:tcPr>
            <w:tcW w:w="2016"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南录水库</w:t>
            </w:r>
          </w:p>
        </w:tc>
        <w:tc>
          <w:tcPr>
            <w:tcW w:w="1216"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南录河</w:t>
            </w:r>
          </w:p>
        </w:tc>
        <w:tc>
          <w:tcPr>
            <w:tcW w:w="1273" w:type="dxa"/>
            <w:tcBorders>
              <w:top w:val="single" w:color="auto" w:sz="4" w:space="0"/>
              <w:left w:val="nil"/>
              <w:bottom w:val="single" w:color="auto" w:sz="8"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7.8</w:t>
            </w:r>
          </w:p>
        </w:tc>
        <w:tc>
          <w:tcPr>
            <w:tcW w:w="1203" w:type="dxa"/>
            <w:tcBorders>
              <w:top w:val="single" w:color="auto" w:sz="4" w:space="0"/>
              <w:left w:val="nil"/>
              <w:bottom w:val="single" w:color="auto" w:sz="8"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0.042</w:t>
            </w:r>
          </w:p>
        </w:tc>
        <w:tc>
          <w:tcPr>
            <w:tcW w:w="886"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0.02</w:t>
            </w:r>
          </w:p>
        </w:tc>
        <w:tc>
          <w:tcPr>
            <w:tcW w:w="940"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232</w:t>
            </w:r>
          </w:p>
        </w:tc>
        <w:tc>
          <w:tcPr>
            <w:tcW w:w="872" w:type="dxa"/>
            <w:tcBorders>
              <w:top w:val="single" w:color="auto" w:sz="4" w:space="0"/>
              <w:left w:val="nil"/>
              <w:bottom w:val="single" w:color="auto" w:sz="8" w:space="0"/>
              <w:right w:val="single" w:color="auto" w:sz="8"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1.5</w:t>
            </w:r>
          </w:p>
        </w:tc>
      </w:tr>
      <w:tr>
        <w:tblPrEx>
          <w:tblLayout w:type="fixed"/>
          <w:tblCellMar>
            <w:top w:w="0" w:type="dxa"/>
            <w:left w:w="108" w:type="dxa"/>
            <w:bottom w:w="0" w:type="dxa"/>
            <w:right w:w="108" w:type="dxa"/>
          </w:tblCellMar>
        </w:tblPrEx>
        <w:trPr>
          <w:trHeight w:val="300" w:hRule="atLeast"/>
        </w:trPr>
        <w:tc>
          <w:tcPr>
            <w:tcW w:w="2546" w:type="dxa"/>
            <w:gridSpan w:val="2"/>
            <w:tcBorders>
              <w:top w:val="single" w:color="auto" w:sz="8" w:space="0"/>
              <w:left w:val="single" w:color="auto" w:sz="8" w:space="0"/>
              <w:bottom w:val="single" w:color="auto" w:sz="8" w:space="0"/>
              <w:right w:val="single" w:color="000000" w:sz="4" w:space="0"/>
            </w:tcBorders>
            <w:shd w:val="clear" w:color="auto" w:fill="auto"/>
            <w:noWrap/>
            <w:vAlign w:val="center"/>
          </w:tcPr>
          <w:p>
            <w:pPr>
              <w:widowControl/>
              <w:jc w:val="center"/>
              <w:rPr>
                <w:rFonts w:cs="宋体"/>
                <w:kern w:val="0"/>
                <w:sz w:val="20"/>
                <w:szCs w:val="20"/>
              </w:rPr>
            </w:pPr>
            <w:r>
              <w:rPr>
                <w:rFonts w:hint="eastAsia" w:cs="宋体"/>
                <w:kern w:val="0"/>
                <w:sz w:val="20"/>
                <w:szCs w:val="20"/>
              </w:rPr>
              <w:t>合计</w:t>
            </w:r>
          </w:p>
        </w:tc>
        <w:tc>
          <w:tcPr>
            <w:tcW w:w="1216"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　</w:t>
            </w:r>
          </w:p>
        </w:tc>
        <w:tc>
          <w:tcPr>
            <w:tcW w:w="1273" w:type="dxa"/>
            <w:tcBorders>
              <w:top w:val="single" w:color="auto" w:sz="4" w:space="0"/>
              <w:left w:val="nil"/>
              <w:bottom w:val="single" w:color="auto" w:sz="8"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　</w:t>
            </w:r>
          </w:p>
        </w:tc>
        <w:tc>
          <w:tcPr>
            <w:tcW w:w="1203" w:type="dxa"/>
            <w:tcBorders>
              <w:top w:val="single" w:color="auto" w:sz="4" w:space="0"/>
              <w:left w:val="nil"/>
              <w:bottom w:val="single" w:color="auto" w:sz="8"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　</w:t>
            </w:r>
          </w:p>
        </w:tc>
        <w:tc>
          <w:tcPr>
            <w:tcW w:w="886"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0.5742</w:t>
            </w:r>
          </w:p>
        </w:tc>
        <w:tc>
          <w:tcPr>
            <w:tcW w:w="940" w:type="dxa"/>
            <w:tcBorders>
              <w:top w:val="single" w:color="auto" w:sz="4" w:space="0"/>
              <w:left w:val="nil"/>
              <w:bottom w:val="single" w:color="auto" w:sz="8" w:space="0"/>
              <w:right w:val="single" w:color="auto" w:sz="4"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0</w:t>
            </w:r>
          </w:p>
        </w:tc>
        <w:tc>
          <w:tcPr>
            <w:tcW w:w="872" w:type="dxa"/>
            <w:tcBorders>
              <w:top w:val="single" w:color="auto" w:sz="4" w:space="0"/>
              <w:left w:val="nil"/>
              <w:bottom w:val="single" w:color="auto" w:sz="8" w:space="0"/>
              <w:right w:val="single" w:color="auto" w:sz="8" w:space="0"/>
            </w:tcBorders>
            <w:shd w:val="clear" w:color="auto" w:fill="auto"/>
            <w:noWrap/>
            <w:vAlign w:val="bottom"/>
          </w:tcPr>
          <w:p>
            <w:pPr>
              <w:widowControl/>
              <w:jc w:val="center"/>
              <w:rPr>
                <w:rFonts w:ascii="Times New Roman" w:hAnsi="Times New Roman"/>
                <w:kern w:val="0"/>
                <w:sz w:val="20"/>
                <w:szCs w:val="20"/>
              </w:rPr>
            </w:pPr>
            <w:r>
              <w:rPr>
                <w:rFonts w:ascii="Times New Roman" w:hAnsi="Times New Roman"/>
                <w:kern w:val="0"/>
                <w:sz w:val="20"/>
                <w:szCs w:val="20"/>
              </w:rPr>
              <w:t>25.6</w:t>
            </w:r>
          </w:p>
        </w:tc>
      </w:tr>
    </w:tbl>
    <w:p>
      <w:pPr>
        <w:pStyle w:val="4"/>
        <w:rPr>
          <w:rFonts w:ascii="Times New Roman" w:hAnsi="Times New Roman"/>
        </w:rPr>
      </w:pPr>
      <w:bookmarkStart w:id="51" w:name="_Toc62461321"/>
      <w:bookmarkStart w:id="52" w:name="_Toc49452705"/>
      <w:bookmarkStart w:id="53" w:name="_Toc43754891"/>
      <w:r>
        <w:rPr>
          <w:rFonts w:hint="eastAsia" w:ascii="Times New Roman" w:hAnsi="Times New Roman"/>
        </w:rPr>
        <w:t>水系连通</w:t>
      </w:r>
      <w:bookmarkEnd w:id="51"/>
    </w:p>
    <w:p>
      <w:pPr>
        <w:pStyle w:val="3"/>
        <w:ind w:firstLine="576"/>
      </w:pPr>
      <w:r>
        <w:rPr>
          <w:rFonts w:hint="eastAsia"/>
        </w:rPr>
        <w:t>以勐海县江河水库水资源为依托，统筹考虑全县水资源空间分布的不均匀性及其与经济、生态布局的不匹配性，规划水系连通工程，充分发挥已建工程的供水效益和效率，全面优化全县水资源配置格局，实现水资源统一调度，保障经济社会发展供水安全。</w:t>
      </w:r>
    </w:p>
    <w:p>
      <w:pPr>
        <w:pStyle w:val="3"/>
        <w:ind w:firstLine="576"/>
      </w:pPr>
      <w:r>
        <w:rPr>
          <w:rFonts w:hint="eastAsia"/>
        </w:rPr>
        <w:t>“十四五”规划续建水系连通工程3项，分别为南录河水库至勐遮坝区水系连通工程、</w:t>
      </w:r>
      <w:r>
        <w:rPr>
          <w:rFonts w:hint="eastAsia"/>
          <w:lang w:eastAsia="zh-CN"/>
        </w:rPr>
        <w:t>章朗</w:t>
      </w:r>
      <w:r>
        <w:rPr>
          <w:rFonts w:hint="eastAsia"/>
        </w:rPr>
        <w:t>水库至那达勐水库连通工程、布朗山水库和连通工程。工程供水线路总长14.5km，总供水量1250万m</w:t>
      </w:r>
      <w:r>
        <w:rPr>
          <w:rFonts w:hint="eastAsia"/>
          <w:vertAlign w:val="superscript"/>
        </w:rPr>
        <w:t>3</w:t>
      </w:r>
      <w:r>
        <w:rPr>
          <w:rFonts w:hint="eastAsia"/>
        </w:rPr>
        <w:t>，供水人口7.9万人，</w:t>
      </w:r>
      <w:r>
        <w:t>新增灌溉面积</w:t>
      </w:r>
      <w:r>
        <w:rPr>
          <w:rFonts w:hint="eastAsia"/>
        </w:rPr>
        <w:t>4.9万亩，</w:t>
      </w:r>
      <w:r>
        <w:t>改善灌溉面积</w:t>
      </w:r>
      <w:r>
        <w:rPr>
          <w:rFonts w:hint="eastAsia"/>
        </w:rPr>
        <w:t>9.3万亩，总投资5.4亿元。</w:t>
      </w:r>
    </w:p>
    <w:p>
      <w:pPr>
        <w:pStyle w:val="4"/>
        <w:rPr>
          <w:rFonts w:ascii="Times New Roman" w:hAnsi="Times New Roman"/>
        </w:rPr>
      </w:pPr>
      <w:bookmarkStart w:id="54" w:name="_Toc62461322"/>
      <w:r>
        <w:rPr>
          <w:rFonts w:hint="eastAsia" w:ascii="Times New Roman" w:hAnsi="Times New Roman"/>
        </w:rPr>
        <w:t>中型灌区建设</w:t>
      </w:r>
      <w:bookmarkEnd w:id="54"/>
    </w:p>
    <w:p>
      <w:pPr>
        <w:pStyle w:val="3"/>
        <w:ind w:firstLine="576"/>
      </w:pPr>
      <w:r>
        <w:rPr>
          <w:rFonts w:hint="eastAsia"/>
        </w:rPr>
        <w:t>围绕乡村振兴战略，按照现代化农业建设要求，加快推进灌区现代化建设与改造，加强灌排工程体系改造。勐海县“十四五”规划对5个中型灌区进行节水改造，增强粮食综合生产能力，保障全县粮食安全。</w:t>
      </w:r>
    </w:p>
    <w:p>
      <w:pPr>
        <w:pStyle w:val="3"/>
        <w:ind w:firstLine="576"/>
      </w:pPr>
      <w:r>
        <w:rPr>
          <w:rFonts w:hint="eastAsia"/>
        </w:rPr>
        <w:t>勐阿、勐往、勐满、打洛中型灌区、打洛南闷河中型灌区等5个中型灌区由于灌区渠系配套率低，供水矛盾突出。通过实施中型灌区骨干灌排工程补短板建设，提高输配水效率和灌溉水利用系数，保障供水保证率，巩固脱贫攻坚成果，并进一步提高粮食生产水利保障能力。“十四五”规划灌区续建渠道长度60km，续建建筑物140处；新建渠道长度146km，新建建筑物300处，总投资31500万元。</w:t>
      </w:r>
    </w:p>
    <w:p>
      <w:pPr>
        <w:pStyle w:val="3"/>
        <w:ind w:firstLine="0" w:firstLineChars="0"/>
        <w:jc w:val="center"/>
        <w:rPr>
          <w:rFonts w:eastAsia="黑体" w:cs="Arial"/>
          <w:spacing w:val="0"/>
          <w:sz w:val="24"/>
        </w:rPr>
      </w:pPr>
      <w:r>
        <w:rPr>
          <w:rFonts w:hint="eastAsia" w:eastAsia="黑体" w:cs="Arial"/>
          <w:spacing w:val="0"/>
          <w:sz w:val="24"/>
        </w:rPr>
        <w:t xml:space="preserve">表 </w:t>
      </w:r>
      <w:r>
        <w:rPr>
          <w:rFonts w:eastAsia="黑体" w:cs="Arial"/>
          <w:spacing w:val="0"/>
          <w:sz w:val="24"/>
        </w:rPr>
        <w:fldChar w:fldCharType="begin"/>
      </w:r>
      <w:r>
        <w:rPr>
          <w:rFonts w:eastAsia="黑体" w:cs="Arial"/>
          <w:spacing w:val="0"/>
          <w:sz w:val="24"/>
        </w:rPr>
        <w:instrText xml:space="preserve"> </w:instrText>
      </w:r>
      <w:r>
        <w:rPr>
          <w:rFonts w:hint="eastAsia" w:eastAsia="黑体" w:cs="Arial"/>
          <w:spacing w:val="0"/>
          <w:sz w:val="24"/>
        </w:rPr>
        <w:instrText xml:space="preserve">STYLEREF 2 \s</w:instrText>
      </w:r>
      <w:r>
        <w:rPr>
          <w:rFonts w:eastAsia="黑体" w:cs="Arial"/>
          <w:spacing w:val="0"/>
          <w:sz w:val="24"/>
        </w:rPr>
        <w:instrText xml:space="preserve"> </w:instrText>
      </w:r>
      <w:r>
        <w:rPr>
          <w:rFonts w:eastAsia="黑体" w:cs="Arial"/>
          <w:spacing w:val="0"/>
          <w:sz w:val="24"/>
        </w:rPr>
        <w:fldChar w:fldCharType="separate"/>
      </w:r>
      <w:r>
        <w:rPr>
          <w:rFonts w:eastAsia="黑体" w:cs="Arial"/>
          <w:spacing w:val="0"/>
          <w:sz w:val="24"/>
        </w:rPr>
        <w:t>5.3</w:t>
      </w:r>
      <w:r>
        <w:rPr>
          <w:rFonts w:eastAsia="黑体" w:cs="Arial"/>
          <w:spacing w:val="0"/>
          <w:sz w:val="24"/>
        </w:rPr>
        <w:fldChar w:fldCharType="end"/>
      </w:r>
      <w:r>
        <w:rPr>
          <w:rFonts w:eastAsia="黑体" w:cs="Arial"/>
          <w:spacing w:val="0"/>
          <w:sz w:val="24"/>
        </w:rPr>
        <w:t>.</w:t>
      </w:r>
      <w:r>
        <w:rPr>
          <w:rFonts w:eastAsia="黑体" w:cs="Arial"/>
          <w:spacing w:val="0"/>
          <w:sz w:val="24"/>
        </w:rPr>
        <w:fldChar w:fldCharType="begin"/>
      </w:r>
      <w:r>
        <w:rPr>
          <w:rFonts w:eastAsia="黑体" w:cs="Arial"/>
          <w:spacing w:val="0"/>
          <w:sz w:val="24"/>
        </w:rPr>
        <w:instrText xml:space="preserve"> </w:instrText>
      </w:r>
      <w:r>
        <w:rPr>
          <w:rFonts w:hint="eastAsia" w:eastAsia="黑体" w:cs="Arial"/>
          <w:spacing w:val="0"/>
          <w:sz w:val="24"/>
        </w:rPr>
        <w:instrText xml:space="preserve">SEQ 表 \* ARABIC \s 2</w:instrText>
      </w:r>
      <w:r>
        <w:rPr>
          <w:rFonts w:eastAsia="黑体" w:cs="Arial"/>
          <w:spacing w:val="0"/>
          <w:sz w:val="24"/>
        </w:rPr>
        <w:instrText xml:space="preserve"> </w:instrText>
      </w:r>
      <w:r>
        <w:rPr>
          <w:rFonts w:eastAsia="黑体" w:cs="Arial"/>
          <w:spacing w:val="0"/>
          <w:sz w:val="24"/>
        </w:rPr>
        <w:fldChar w:fldCharType="separate"/>
      </w:r>
      <w:r>
        <w:rPr>
          <w:rFonts w:eastAsia="黑体" w:cs="Arial"/>
          <w:spacing w:val="0"/>
          <w:sz w:val="24"/>
        </w:rPr>
        <w:t>1</w:t>
      </w:r>
      <w:r>
        <w:rPr>
          <w:rFonts w:eastAsia="黑体" w:cs="Arial"/>
          <w:spacing w:val="0"/>
          <w:sz w:val="24"/>
        </w:rPr>
        <w:fldChar w:fldCharType="end"/>
      </w:r>
      <w:r>
        <w:rPr>
          <w:rFonts w:hint="eastAsia" w:eastAsia="黑体" w:cs="Arial"/>
          <w:spacing w:val="0"/>
          <w:sz w:val="24"/>
        </w:rPr>
        <w:t xml:space="preserve"> 勐海县中型灌区新建续建项目表</w:t>
      </w:r>
    </w:p>
    <w:tbl>
      <w:tblPr>
        <w:tblStyle w:val="32"/>
        <w:tblW w:w="8936" w:type="dxa"/>
        <w:tblInd w:w="0" w:type="dxa"/>
        <w:tblLayout w:type="fixed"/>
        <w:tblCellMar>
          <w:top w:w="0" w:type="dxa"/>
          <w:left w:w="108" w:type="dxa"/>
          <w:bottom w:w="0" w:type="dxa"/>
          <w:right w:w="108" w:type="dxa"/>
        </w:tblCellMar>
      </w:tblPr>
      <w:tblGrid>
        <w:gridCol w:w="616"/>
        <w:gridCol w:w="922"/>
        <w:gridCol w:w="724"/>
        <w:gridCol w:w="899"/>
        <w:gridCol w:w="905"/>
        <w:gridCol w:w="1017"/>
        <w:gridCol w:w="997"/>
        <w:gridCol w:w="1089"/>
        <w:gridCol w:w="997"/>
        <w:gridCol w:w="770"/>
      </w:tblGrid>
      <w:tr>
        <w:tblPrEx>
          <w:tblLayout w:type="fixed"/>
          <w:tblCellMar>
            <w:top w:w="0" w:type="dxa"/>
            <w:left w:w="108" w:type="dxa"/>
            <w:bottom w:w="0" w:type="dxa"/>
            <w:right w:w="108" w:type="dxa"/>
          </w:tblCellMar>
        </w:tblPrEx>
        <w:trPr>
          <w:trHeight w:val="288" w:hRule="atLeast"/>
        </w:trPr>
        <w:tc>
          <w:tcPr>
            <w:tcW w:w="616"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序号</w:t>
            </w:r>
          </w:p>
        </w:tc>
        <w:tc>
          <w:tcPr>
            <w:tcW w:w="922" w:type="dxa"/>
            <w:vMerge w:val="restart"/>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灌区名称</w:t>
            </w:r>
          </w:p>
        </w:tc>
        <w:tc>
          <w:tcPr>
            <w:tcW w:w="724" w:type="dxa"/>
            <w:vMerge w:val="restart"/>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水源名称</w:t>
            </w:r>
          </w:p>
        </w:tc>
        <w:tc>
          <w:tcPr>
            <w:tcW w:w="899" w:type="dxa"/>
            <w:vMerge w:val="restart"/>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灌溉取水量（万</w:t>
            </w:r>
            <w:r>
              <w:rPr>
                <w:rFonts w:ascii="Times New Roman" w:hAnsi="Times New Roman" w:eastAsia="仿宋_GB2312"/>
                <w:color w:val="auto"/>
                <w:kern w:val="0"/>
                <w:sz w:val="20"/>
                <w:szCs w:val="20"/>
              </w:rPr>
              <w:t>m</w:t>
            </w:r>
            <w:r>
              <w:rPr>
                <w:rFonts w:ascii="Times New Roman" w:hAnsi="Times New Roman" w:eastAsia="仿宋_GB2312"/>
                <w:color w:val="auto"/>
                <w:kern w:val="0"/>
                <w:sz w:val="20"/>
                <w:szCs w:val="20"/>
                <w:vertAlign w:val="superscript"/>
              </w:rPr>
              <w:t>3</w:t>
            </w:r>
            <w:r>
              <w:rPr>
                <w:rFonts w:hint="eastAsia" w:ascii="仿宋_GB2312" w:eastAsia="仿宋_GB2312" w:cs="宋体"/>
                <w:color w:val="auto"/>
                <w:kern w:val="0"/>
                <w:sz w:val="20"/>
                <w:szCs w:val="20"/>
              </w:rPr>
              <w:t>）</w:t>
            </w:r>
          </w:p>
        </w:tc>
        <w:tc>
          <w:tcPr>
            <w:tcW w:w="905" w:type="dxa"/>
            <w:vMerge w:val="restart"/>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设计灌溉面积（万亩）</w:t>
            </w:r>
          </w:p>
        </w:tc>
        <w:tc>
          <w:tcPr>
            <w:tcW w:w="2014" w:type="dxa"/>
            <w:gridSpan w:val="2"/>
            <w:tcBorders>
              <w:top w:val="single" w:color="auto" w:sz="8"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续建配套渠系</w:t>
            </w:r>
          </w:p>
        </w:tc>
        <w:tc>
          <w:tcPr>
            <w:tcW w:w="2086" w:type="dxa"/>
            <w:gridSpan w:val="2"/>
            <w:tcBorders>
              <w:top w:val="single" w:color="auto" w:sz="8"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新建渠系</w:t>
            </w:r>
          </w:p>
        </w:tc>
        <w:tc>
          <w:tcPr>
            <w:tcW w:w="770" w:type="dxa"/>
            <w:tcBorders>
              <w:top w:val="single" w:color="auto" w:sz="8" w:space="0"/>
              <w:left w:val="nil"/>
              <w:bottom w:val="single" w:color="auto" w:sz="4" w:space="0"/>
              <w:right w:val="single" w:color="auto" w:sz="8"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总投资</w:t>
            </w:r>
          </w:p>
        </w:tc>
      </w:tr>
      <w:tr>
        <w:tblPrEx>
          <w:tblLayout w:type="fixed"/>
          <w:tblCellMar>
            <w:top w:w="0" w:type="dxa"/>
            <w:left w:w="108" w:type="dxa"/>
            <w:bottom w:w="0" w:type="dxa"/>
            <w:right w:w="108" w:type="dxa"/>
          </w:tblCellMar>
        </w:tblPrEx>
        <w:trPr>
          <w:trHeight w:val="744" w:hRule="atLeast"/>
        </w:trPr>
        <w:tc>
          <w:tcPr>
            <w:tcW w:w="616"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仿宋_GB2312" w:eastAsia="仿宋_GB2312" w:cs="宋体"/>
                <w:color w:val="auto"/>
                <w:kern w:val="0"/>
                <w:sz w:val="20"/>
                <w:szCs w:val="20"/>
              </w:rPr>
            </w:pPr>
          </w:p>
        </w:tc>
        <w:tc>
          <w:tcPr>
            <w:tcW w:w="922"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仿宋_GB2312" w:eastAsia="仿宋_GB2312" w:cs="宋体"/>
                <w:color w:val="auto"/>
                <w:kern w:val="0"/>
                <w:sz w:val="20"/>
                <w:szCs w:val="20"/>
              </w:rPr>
            </w:pPr>
          </w:p>
        </w:tc>
        <w:tc>
          <w:tcPr>
            <w:tcW w:w="724"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仿宋_GB2312" w:eastAsia="仿宋_GB2312" w:cs="宋体"/>
                <w:color w:val="auto"/>
                <w:kern w:val="0"/>
                <w:sz w:val="20"/>
                <w:szCs w:val="20"/>
              </w:rPr>
            </w:pPr>
          </w:p>
        </w:tc>
        <w:tc>
          <w:tcPr>
            <w:tcW w:w="899"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仿宋_GB2312" w:eastAsia="仿宋_GB2312" w:cs="宋体"/>
                <w:color w:val="auto"/>
                <w:kern w:val="0"/>
                <w:sz w:val="20"/>
                <w:szCs w:val="20"/>
              </w:rPr>
            </w:pPr>
          </w:p>
        </w:tc>
        <w:tc>
          <w:tcPr>
            <w:tcW w:w="905"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仿宋_GB2312" w:eastAsia="仿宋_GB2312" w:cs="宋体"/>
                <w:color w:val="auto"/>
                <w:kern w:val="0"/>
                <w:sz w:val="20"/>
                <w:szCs w:val="20"/>
              </w:rPr>
            </w:pP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渠道长度（</w:t>
            </w:r>
            <w:r>
              <w:rPr>
                <w:rFonts w:ascii="Times New Roman" w:hAnsi="Times New Roman" w:eastAsia="仿宋_GB2312"/>
                <w:color w:val="auto"/>
                <w:kern w:val="0"/>
                <w:sz w:val="20"/>
                <w:szCs w:val="20"/>
              </w:rPr>
              <w:t>km</w:t>
            </w:r>
            <w:r>
              <w:rPr>
                <w:rFonts w:hint="eastAsia" w:ascii="仿宋_GB2312" w:eastAsia="仿宋_GB2312" w:cs="宋体"/>
                <w:color w:val="auto"/>
                <w:kern w:val="0"/>
                <w:sz w:val="20"/>
                <w:szCs w:val="20"/>
              </w:rPr>
              <w:t>）</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建筑物处数（处）</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新建渠道长度（</w:t>
            </w:r>
            <w:r>
              <w:rPr>
                <w:rFonts w:ascii="Times New Roman" w:hAnsi="Times New Roman" w:eastAsia="仿宋_GB2312"/>
                <w:color w:val="auto"/>
                <w:kern w:val="0"/>
                <w:sz w:val="20"/>
                <w:szCs w:val="20"/>
              </w:rPr>
              <w:t>km</w:t>
            </w:r>
            <w:r>
              <w:rPr>
                <w:rFonts w:hint="eastAsia" w:ascii="仿宋_GB2312" w:eastAsia="仿宋_GB2312" w:cs="宋体"/>
                <w:color w:val="auto"/>
                <w:kern w:val="0"/>
                <w:sz w:val="20"/>
                <w:szCs w:val="20"/>
              </w:rPr>
              <w:t>）</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建筑物处数（处）</w:t>
            </w:r>
          </w:p>
        </w:tc>
        <w:tc>
          <w:tcPr>
            <w:tcW w:w="770" w:type="dxa"/>
            <w:tcBorders>
              <w:top w:val="nil"/>
              <w:left w:val="nil"/>
              <w:bottom w:val="single" w:color="auto" w:sz="4" w:space="0"/>
              <w:right w:val="single" w:color="auto" w:sz="8"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（万元）</w:t>
            </w:r>
          </w:p>
        </w:tc>
      </w:tr>
      <w:tr>
        <w:tblPrEx>
          <w:tblLayout w:type="fixed"/>
          <w:tblCellMar>
            <w:top w:w="0" w:type="dxa"/>
            <w:left w:w="108" w:type="dxa"/>
            <w:bottom w:w="0" w:type="dxa"/>
            <w:right w:w="108" w:type="dxa"/>
          </w:tblCellMar>
        </w:tblPrEx>
        <w:trPr>
          <w:trHeight w:val="288" w:hRule="atLeast"/>
        </w:trPr>
        <w:tc>
          <w:tcPr>
            <w:tcW w:w="616"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勐阿中型灌区</w:t>
            </w:r>
          </w:p>
        </w:tc>
        <w:tc>
          <w:tcPr>
            <w:tcW w:w="72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勐阿水库</w:t>
            </w:r>
          </w:p>
        </w:tc>
        <w:tc>
          <w:tcPr>
            <w:tcW w:w="8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1165</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20</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45</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25</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50</w:t>
            </w:r>
          </w:p>
        </w:tc>
        <w:tc>
          <w:tcPr>
            <w:tcW w:w="770"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9000</w:t>
            </w:r>
          </w:p>
        </w:tc>
      </w:tr>
      <w:tr>
        <w:tblPrEx>
          <w:tblLayout w:type="fixed"/>
          <w:tblCellMar>
            <w:top w:w="0" w:type="dxa"/>
            <w:left w:w="108" w:type="dxa"/>
            <w:bottom w:w="0" w:type="dxa"/>
            <w:right w:w="108" w:type="dxa"/>
          </w:tblCellMar>
        </w:tblPrEx>
        <w:trPr>
          <w:trHeight w:val="480" w:hRule="atLeast"/>
        </w:trPr>
        <w:tc>
          <w:tcPr>
            <w:tcW w:w="616"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勐往中型灌区</w:t>
            </w:r>
          </w:p>
        </w:tc>
        <w:tc>
          <w:tcPr>
            <w:tcW w:w="72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水库、堰闸</w:t>
            </w:r>
          </w:p>
        </w:tc>
        <w:tc>
          <w:tcPr>
            <w:tcW w:w="8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120</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10</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35</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45</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80</w:t>
            </w:r>
          </w:p>
        </w:tc>
        <w:tc>
          <w:tcPr>
            <w:tcW w:w="770"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5000</w:t>
            </w:r>
          </w:p>
        </w:tc>
      </w:tr>
      <w:tr>
        <w:tblPrEx>
          <w:tblLayout w:type="fixed"/>
          <w:tblCellMar>
            <w:top w:w="0" w:type="dxa"/>
            <w:left w:w="108" w:type="dxa"/>
            <w:bottom w:w="0" w:type="dxa"/>
            <w:right w:w="108" w:type="dxa"/>
          </w:tblCellMar>
        </w:tblPrEx>
        <w:trPr>
          <w:trHeight w:val="480" w:hRule="atLeast"/>
        </w:trPr>
        <w:tc>
          <w:tcPr>
            <w:tcW w:w="616"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打洛南拉河中型灌区节水灌溉工程</w:t>
            </w:r>
          </w:p>
        </w:tc>
        <w:tc>
          <w:tcPr>
            <w:tcW w:w="72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水库、堰闸</w:t>
            </w:r>
          </w:p>
        </w:tc>
        <w:tc>
          <w:tcPr>
            <w:tcW w:w="8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800</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0.5</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10</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20</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30</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60</w:t>
            </w:r>
          </w:p>
        </w:tc>
        <w:tc>
          <w:tcPr>
            <w:tcW w:w="770"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5000</w:t>
            </w:r>
          </w:p>
        </w:tc>
      </w:tr>
      <w:tr>
        <w:tblPrEx>
          <w:tblLayout w:type="fixed"/>
          <w:tblCellMar>
            <w:top w:w="0" w:type="dxa"/>
            <w:left w:w="108" w:type="dxa"/>
            <w:bottom w:w="0" w:type="dxa"/>
            <w:right w:w="108" w:type="dxa"/>
          </w:tblCellMar>
        </w:tblPrEx>
        <w:trPr>
          <w:trHeight w:val="480" w:hRule="atLeast"/>
        </w:trPr>
        <w:tc>
          <w:tcPr>
            <w:tcW w:w="616"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4</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勐满中型灌区</w:t>
            </w:r>
          </w:p>
        </w:tc>
        <w:tc>
          <w:tcPr>
            <w:tcW w:w="72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水库、堰闸</w:t>
            </w:r>
          </w:p>
        </w:tc>
        <w:tc>
          <w:tcPr>
            <w:tcW w:w="8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160</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10</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20</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30</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60</w:t>
            </w:r>
          </w:p>
        </w:tc>
        <w:tc>
          <w:tcPr>
            <w:tcW w:w="770"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7500</w:t>
            </w:r>
          </w:p>
        </w:tc>
      </w:tr>
      <w:tr>
        <w:tblPrEx>
          <w:tblLayout w:type="fixed"/>
          <w:tblCellMar>
            <w:top w:w="0" w:type="dxa"/>
            <w:left w:w="108" w:type="dxa"/>
            <w:bottom w:w="0" w:type="dxa"/>
            <w:right w:w="108" w:type="dxa"/>
          </w:tblCellMar>
        </w:tblPrEx>
        <w:trPr>
          <w:trHeight w:val="480" w:hRule="atLeast"/>
        </w:trPr>
        <w:tc>
          <w:tcPr>
            <w:tcW w:w="616"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打洛南闷河中型灌区节水灌溉工程</w:t>
            </w:r>
          </w:p>
        </w:tc>
        <w:tc>
          <w:tcPr>
            <w:tcW w:w="724"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堰闸、水库</w:t>
            </w:r>
          </w:p>
        </w:tc>
        <w:tc>
          <w:tcPr>
            <w:tcW w:w="89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900</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1.5</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10</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20</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15.6</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50</w:t>
            </w:r>
          </w:p>
        </w:tc>
        <w:tc>
          <w:tcPr>
            <w:tcW w:w="770"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5000</w:t>
            </w:r>
          </w:p>
        </w:tc>
      </w:tr>
      <w:tr>
        <w:tblPrEx>
          <w:tblLayout w:type="fixed"/>
          <w:tblCellMar>
            <w:top w:w="0" w:type="dxa"/>
            <w:left w:w="108" w:type="dxa"/>
            <w:bottom w:w="0" w:type="dxa"/>
            <w:right w:w="108" w:type="dxa"/>
          </w:tblCellMar>
        </w:tblPrEx>
        <w:trPr>
          <w:trHeight w:val="300" w:hRule="atLeast"/>
        </w:trPr>
        <w:tc>
          <w:tcPr>
            <w:tcW w:w="2262" w:type="dxa"/>
            <w:gridSpan w:val="3"/>
            <w:tcBorders>
              <w:top w:val="single" w:color="auto" w:sz="4" w:space="0"/>
              <w:left w:val="single" w:color="auto" w:sz="8" w:space="0"/>
              <w:bottom w:val="single" w:color="auto" w:sz="8"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合计</w:t>
            </w:r>
          </w:p>
        </w:tc>
        <w:tc>
          <w:tcPr>
            <w:tcW w:w="899"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3145</w:t>
            </w:r>
          </w:p>
        </w:tc>
        <w:tc>
          <w:tcPr>
            <w:tcW w:w="905"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12</w:t>
            </w:r>
          </w:p>
        </w:tc>
        <w:tc>
          <w:tcPr>
            <w:tcW w:w="1017"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60</w:t>
            </w:r>
          </w:p>
        </w:tc>
        <w:tc>
          <w:tcPr>
            <w:tcW w:w="997"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140</w:t>
            </w:r>
          </w:p>
        </w:tc>
        <w:tc>
          <w:tcPr>
            <w:tcW w:w="1089"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146</w:t>
            </w:r>
          </w:p>
        </w:tc>
        <w:tc>
          <w:tcPr>
            <w:tcW w:w="997"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300</w:t>
            </w:r>
          </w:p>
        </w:tc>
        <w:tc>
          <w:tcPr>
            <w:tcW w:w="77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31500</w:t>
            </w:r>
          </w:p>
        </w:tc>
      </w:tr>
    </w:tbl>
    <w:p>
      <w:pPr>
        <w:pStyle w:val="3"/>
        <w:ind w:firstLine="576"/>
      </w:pPr>
    </w:p>
    <w:p>
      <w:pPr>
        <w:pStyle w:val="4"/>
        <w:rPr>
          <w:rFonts w:ascii="Times New Roman" w:hAnsi="Times New Roman"/>
        </w:rPr>
      </w:pPr>
      <w:bookmarkStart w:id="55" w:name="_Toc62461323"/>
      <w:r>
        <w:rPr>
          <w:rFonts w:ascii="Times New Roman" w:hAnsi="Times New Roman"/>
        </w:rPr>
        <w:t>增强抗旱应急能力</w:t>
      </w:r>
      <w:bookmarkEnd w:id="52"/>
      <w:bookmarkEnd w:id="55"/>
    </w:p>
    <w:p>
      <w:pPr>
        <w:pStyle w:val="3"/>
        <w:ind w:firstLine="576"/>
      </w:pPr>
      <w:r>
        <w:t>在全县干旱易发区、粮食生产区，建设一批中小型抗旱应急备用水源工程，逐步形成大中小</w:t>
      </w:r>
      <w:r>
        <w:rPr>
          <w:rFonts w:hint="eastAsia"/>
        </w:rPr>
        <w:t>微</w:t>
      </w:r>
      <w:r>
        <w:t>并举、蓄引提调结合、水源调节互补的供水保障体系，全面提升抗旱供水水源保障能力。勐海县“十四五”规划在布朗山乡</w:t>
      </w:r>
      <w:r>
        <w:rPr>
          <w:rFonts w:hint="eastAsia"/>
        </w:rPr>
        <w:t>、</w:t>
      </w:r>
      <w:r>
        <w:t>西定乡</w:t>
      </w:r>
      <w:r>
        <w:rPr>
          <w:rFonts w:hint="eastAsia"/>
        </w:rPr>
        <w:t>、</w:t>
      </w:r>
      <w:r>
        <w:t>格朗和乡和勐混镇等抗旱应急能力较差的乡镇，因地制宜地新建一批小型水库工程；针对灌区和工业园区的缺水问题，拟通过引提水工程解决</w:t>
      </w:r>
      <w:r>
        <w:rPr>
          <w:rFonts w:hint="eastAsia"/>
        </w:rPr>
        <w:t>。</w:t>
      </w:r>
      <w:r>
        <w:t xml:space="preserve"> </w:t>
      </w:r>
    </w:p>
    <w:p>
      <w:pPr>
        <w:numPr>
          <w:ilvl w:val="2"/>
          <w:numId w:val="1"/>
        </w:numPr>
        <w:tabs>
          <w:tab w:val="left" w:pos="431"/>
        </w:tabs>
        <w:spacing w:before="120" w:after="120" w:line="360" w:lineRule="auto"/>
        <w:jc w:val="left"/>
        <w:outlineLvl w:val="2"/>
        <w:rPr>
          <w:rFonts w:ascii="Times New Roman" w:hAnsi="Times New Roman" w:eastAsia="黑体"/>
          <w:color w:val="auto"/>
          <w:sz w:val="28"/>
          <w:szCs w:val="32"/>
        </w:rPr>
      </w:pPr>
      <w:r>
        <w:rPr>
          <w:rFonts w:ascii="Times New Roman" w:hAnsi="Times New Roman" w:eastAsia="黑体"/>
          <w:color w:val="auto"/>
          <w:sz w:val="28"/>
          <w:szCs w:val="32"/>
        </w:rPr>
        <w:t>乡镇抗旱小型水库工程</w:t>
      </w:r>
    </w:p>
    <w:p>
      <w:pPr>
        <w:pStyle w:val="3"/>
        <w:ind w:firstLine="576"/>
      </w:pPr>
      <w:r>
        <w:t>“十四五”规划实施乡镇抗旱小型水库工程</w:t>
      </w:r>
      <w:r>
        <w:rPr>
          <w:rFonts w:hint="eastAsia"/>
        </w:rPr>
        <w:t>5</w:t>
      </w:r>
      <w:r>
        <w:t>件，涉及</w:t>
      </w:r>
      <w:r>
        <w:rPr>
          <w:rFonts w:hint="eastAsia"/>
        </w:rPr>
        <w:t>3</w:t>
      </w:r>
      <w:r>
        <w:t>个乡镇</w:t>
      </w:r>
      <w:r>
        <w:rPr>
          <w:rFonts w:hint="eastAsia"/>
        </w:rPr>
        <w:t>4</w:t>
      </w:r>
      <w:r>
        <w:t>个行政村，总库容</w:t>
      </w:r>
      <w:r>
        <w:rPr>
          <w:rFonts w:hint="eastAsia"/>
        </w:rPr>
        <w:t>327</w:t>
      </w:r>
      <w:r>
        <w:t>万m³，总投资</w:t>
      </w:r>
      <w:r>
        <w:rPr>
          <w:rFonts w:hint="eastAsia"/>
        </w:rPr>
        <w:t>24500</w:t>
      </w:r>
      <w:r>
        <w:t>万元，详见下表</w:t>
      </w:r>
      <w:r>
        <w:rPr>
          <w:rFonts w:hint="eastAsia"/>
        </w:rPr>
        <w:t>。</w:t>
      </w:r>
    </w:p>
    <w:p>
      <w:pPr>
        <w:pStyle w:val="13"/>
        <w:rPr>
          <w:szCs w:val="24"/>
        </w:rP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5.4</w:t>
      </w:r>
      <w:r>
        <w:fldChar w:fldCharType="end"/>
      </w:r>
      <w:r>
        <w:t>.</w:t>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w:t>
      </w:r>
      <w:r>
        <w:rPr>
          <w:rFonts w:hint="eastAsia"/>
          <w:szCs w:val="24"/>
        </w:rPr>
        <w:t>勐海</w:t>
      </w:r>
      <w:r>
        <w:rPr>
          <w:szCs w:val="24"/>
        </w:rPr>
        <w:t>县“十四五”规划应急抗旱小型水库工程项目表</w:t>
      </w:r>
    </w:p>
    <w:tbl>
      <w:tblPr>
        <w:tblStyle w:val="32"/>
        <w:tblW w:w="8936" w:type="dxa"/>
        <w:tblInd w:w="0" w:type="dxa"/>
        <w:tblLayout w:type="fixed"/>
        <w:tblCellMar>
          <w:top w:w="0" w:type="dxa"/>
          <w:left w:w="108" w:type="dxa"/>
          <w:bottom w:w="0" w:type="dxa"/>
          <w:right w:w="108" w:type="dxa"/>
        </w:tblCellMar>
      </w:tblPr>
      <w:tblGrid>
        <w:gridCol w:w="673"/>
        <w:gridCol w:w="1328"/>
        <w:gridCol w:w="1110"/>
        <w:gridCol w:w="892"/>
        <w:gridCol w:w="1330"/>
        <w:gridCol w:w="1837"/>
        <w:gridCol w:w="1766"/>
      </w:tblGrid>
      <w:tr>
        <w:tblPrEx>
          <w:tblLayout w:type="fixed"/>
          <w:tblCellMar>
            <w:top w:w="0" w:type="dxa"/>
            <w:left w:w="108" w:type="dxa"/>
            <w:bottom w:w="0" w:type="dxa"/>
            <w:right w:w="108" w:type="dxa"/>
          </w:tblCellMar>
        </w:tblPrEx>
        <w:trPr>
          <w:trHeight w:val="516" w:hRule="atLeast"/>
        </w:trPr>
        <w:tc>
          <w:tcPr>
            <w:tcW w:w="673"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序号</w:t>
            </w:r>
          </w:p>
        </w:tc>
        <w:tc>
          <w:tcPr>
            <w:tcW w:w="1328"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水库名称</w:t>
            </w:r>
          </w:p>
        </w:tc>
        <w:tc>
          <w:tcPr>
            <w:tcW w:w="111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所在乡镇</w:t>
            </w:r>
          </w:p>
        </w:tc>
        <w:tc>
          <w:tcPr>
            <w:tcW w:w="89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所在村</w:t>
            </w:r>
          </w:p>
        </w:tc>
        <w:tc>
          <w:tcPr>
            <w:tcW w:w="133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工程规模</w:t>
            </w:r>
          </w:p>
        </w:tc>
        <w:tc>
          <w:tcPr>
            <w:tcW w:w="1837"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总库容（万</w:t>
            </w:r>
            <w:r>
              <w:rPr>
                <w:rFonts w:ascii="Times New Roman" w:hAnsi="Times New Roman"/>
                <w:kern w:val="0"/>
                <w:sz w:val="20"/>
                <w:szCs w:val="20"/>
              </w:rPr>
              <w:t>m³</w:t>
            </w:r>
            <w:r>
              <w:rPr>
                <w:rFonts w:hint="eastAsia" w:ascii="仿宋_GB2312" w:hAnsi="Times New Roman" w:eastAsia="仿宋_GB2312"/>
                <w:kern w:val="0"/>
                <w:sz w:val="20"/>
                <w:szCs w:val="20"/>
              </w:rPr>
              <w:t>）</w:t>
            </w:r>
          </w:p>
        </w:tc>
        <w:tc>
          <w:tcPr>
            <w:tcW w:w="176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总投资（万元）</w:t>
            </w:r>
          </w:p>
        </w:tc>
      </w:tr>
      <w:tr>
        <w:tblPrEx>
          <w:tblLayout w:type="fixed"/>
          <w:tblCellMar>
            <w:top w:w="0" w:type="dxa"/>
            <w:left w:w="108" w:type="dxa"/>
            <w:bottom w:w="0" w:type="dxa"/>
            <w:right w:w="108" w:type="dxa"/>
          </w:tblCellMar>
        </w:tblPrEx>
        <w:trPr>
          <w:trHeight w:val="492" w:hRule="atLeast"/>
        </w:trPr>
        <w:tc>
          <w:tcPr>
            <w:tcW w:w="673"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w:t>
            </w:r>
          </w:p>
        </w:tc>
        <w:tc>
          <w:tcPr>
            <w:tcW w:w="132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老曼峨水库</w:t>
            </w:r>
          </w:p>
        </w:tc>
        <w:tc>
          <w:tcPr>
            <w:tcW w:w="111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布朗山乡</w:t>
            </w:r>
          </w:p>
        </w:tc>
        <w:tc>
          <w:tcPr>
            <w:tcW w:w="89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班章</w:t>
            </w:r>
          </w:p>
        </w:tc>
        <w:tc>
          <w:tcPr>
            <w:tcW w:w="133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小（一）型</w:t>
            </w:r>
          </w:p>
        </w:tc>
        <w:tc>
          <w:tcPr>
            <w:tcW w:w="18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200</w:t>
            </w:r>
          </w:p>
        </w:tc>
        <w:tc>
          <w:tcPr>
            <w:tcW w:w="17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2500</w:t>
            </w:r>
          </w:p>
        </w:tc>
      </w:tr>
      <w:tr>
        <w:tblPrEx>
          <w:tblLayout w:type="fixed"/>
          <w:tblCellMar>
            <w:top w:w="0" w:type="dxa"/>
            <w:left w:w="108" w:type="dxa"/>
            <w:bottom w:w="0" w:type="dxa"/>
            <w:right w:w="108" w:type="dxa"/>
          </w:tblCellMar>
        </w:tblPrEx>
        <w:trPr>
          <w:trHeight w:val="492" w:hRule="atLeast"/>
        </w:trPr>
        <w:tc>
          <w:tcPr>
            <w:tcW w:w="673"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w:t>
            </w:r>
          </w:p>
        </w:tc>
        <w:tc>
          <w:tcPr>
            <w:tcW w:w="132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老班章水库</w:t>
            </w:r>
          </w:p>
        </w:tc>
        <w:tc>
          <w:tcPr>
            <w:tcW w:w="111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布朗山乡</w:t>
            </w:r>
          </w:p>
        </w:tc>
        <w:tc>
          <w:tcPr>
            <w:tcW w:w="89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班章</w:t>
            </w:r>
          </w:p>
        </w:tc>
        <w:tc>
          <w:tcPr>
            <w:tcW w:w="133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小（二）型</w:t>
            </w:r>
          </w:p>
        </w:tc>
        <w:tc>
          <w:tcPr>
            <w:tcW w:w="18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50</w:t>
            </w:r>
          </w:p>
        </w:tc>
        <w:tc>
          <w:tcPr>
            <w:tcW w:w="17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2000</w:t>
            </w:r>
          </w:p>
        </w:tc>
      </w:tr>
      <w:tr>
        <w:tblPrEx>
          <w:tblLayout w:type="fixed"/>
          <w:tblCellMar>
            <w:top w:w="0" w:type="dxa"/>
            <w:left w:w="108" w:type="dxa"/>
            <w:bottom w:w="0" w:type="dxa"/>
            <w:right w:w="108" w:type="dxa"/>
          </w:tblCellMar>
        </w:tblPrEx>
        <w:trPr>
          <w:trHeight w:val="492" w:hRule="atLeast"/>
        </w:trPr>
        <w:tc>
          <w:tcPr>
            <w:tcW w:w="673"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w:t>
            </w:r>
          </w:p>
        </w:tc>
        <w:tc>
          <w:tcPr>
            <w:tcW w:w="132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南糯山水库</w:t>
            </w:r>
          </w:p>
        </w:tc>
        <w:tc>
          <w:tcPr>
            <w:tcW w:w="111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格朗和乡</w:t>
            </w:r>
          </w:p>
        </w:tc>
        <w:tc>
          <w:tcPr>
            <w:tcW w:w="89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南糯山</w:t>
            </w:r>
          </w:p>
        </w:tc>
        <w:tc>
          <w:tcPr>
            <w:tcW w:w="133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小（二）型</w:t>
            </w:r>
          </w:p>
        </w:tc>
        <w:tc>
          <w:tcPr>
            <w:tcW w:w="18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50</w:t>
            </w:r>
          </w:p>
        </w:tc>
        <w:tc>
          <w:tcPr>
            <w:tcW w:w="17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8000</w:t>
            </w:r>
          </w:p>
        </w:tc>
      </w:tr>
      <w:tr>
        <w:tblPrEx>
          <w:tblLayout w:type="fixed"/>
          <w:tblCellMar>
            <w:top w:w="0" w:type="dxa"/>
            <w:left w:w="108" w:type="dxa"/>
            <w:bottom w:w="0" w:type="dxa"/>
            <w:right w:w="108" w:type="dxa"/>
          </w:tblCellMar>
        </w:tblPrEx>
        <w:trPr>
          <w:trHeight w:val="492" w:hRule="atLeast"/>
        </w:trPr>
        <w:tc>
          <w:tcPr>
            <w:tcW w:w="673"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4</w:t>
            </w:r>
          </w:p>
        </w:tc>
        <w:tc>
          <w:tcPr>
            <w:tcW w:w="132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阿鲁水库</w:t>
            </w:r>
          </w:p>
        </w:tc>
        <w:tc>
          <w:tcPr>
            <w:tcW w:w="111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格朗和乡</w:t>
            </w:r>
          </w:p>
        </w:tc>
        <w:tc>
          <w:tcPr>
            <w:tcW w:w="89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帕宫</w:t>
            </w:r>
          </w:p>
        </w:tc>
        <w:tc>
          <w:tcPr>
            <w:tcW w:w="133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小（二）型</w:t>
            </w:r>
          </w:p>
        </w:tc>
        <w:tc>
          <w:tcPr>
            <w:tcW w:w="18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10</w:t>
            </w:r>
          </w:p>
        </w:tc>
        <w:tc>
          <w:tcPr>
            <w:tcW w:w="17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10000</w:t>
            </w:r>
          </w:p>
        </w:tc>
      </w:tr>
      <w:tr>
        <w:tblPrEx>
          <w:tblLayout w:type="fixed"/>
          <w:tblCellMar>
            <w:top w:w="0" w:type="dxa"/>
            <w:left w:w="108" w:type="dxa"/>
            <w:bottom w:w="0" w:type="dxa"/>
            <w:right w:w="108" w:type="dxa"/>
          </w:tblCellMar>
        </w:tblPrEx>
        <w:trPr>
          <w:trHeight w:val="492" w:hRule="atLeast"/>
        </w:trPr>
        <w:tc>
          <w:tcPr>
            <w:tcW w:w="673"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w:t>
            </w:r>
          </w:p>
        </w:tc>
        <w:tc>
          <w:tcPr>
            <w:tcW w:w="132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曼尾水库</w:t>
            </w:r>
          </w:p>
        </w:tc>
        <w:tc>
          <w:tcPr>
            <w:tcW w:w="111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勐混镇</w:t>
            </w:r>
          </w:p>
        </w:tc>
        <w:tc>
          <w:tcPr>
            <w:tcW w:w="89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曼尾</w:t>
            </w:r>
          </w:p>
        </w:tc>
        <w:tc>
          <w:tcPr>
            <w:tcW w:w="1330"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小（二）型</w:t>
            </w:r>
          </w:p>
        </w:tc>
        <w:tc>
          <w:tcPr>
            <w:tcW w:w="18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17</w:t>
            </w:r>
          </w:p>
        </w:tc>
        <w:tc>
          <w:tcPr>
            <w:tcW w:w="17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2000</w:t>
            </w:r>
          </w:p>
        </w:tc>
      </w:tr>
      <w:tr>
        <w:tblPrEx>
          <w:tblLayout w:type="fixed"/>
          <w:tblCellMar>
            <w:top w:w="0" w:type="dxa"/>
            <w:left w:w="108" w:type="dxa"/>
            <w:bottom w:w="0" w:type="dxa"/>
            <w:right w:w="108" w:type="dxa"/>
          </w:tblCellMar>
        </w:tblPrEx>
        <w:trPr>
          <w:trHeight w:val="300" w:hRule="atLeast"/>
        </w:trPr>
        <w:tc>
          <w:tcPr>
            <w:tcW w:w="5333" w:type="dxa"/>
            <w:gridSpan w:val="5"/>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center"/>
              <w:rPr>
                <w:rFonts w:ascii="Times New Roman" w:hAnsi="Times New Roman"/>
                <w:kern w:val="0"/>
                <w:sz w:val="20"/>
                <w:szCs w:val="20"/>
              </w:rPr>
            </w:pPr>
            <w:r>
              <w:rPr>
                <w:rFonts w:hint="eastAsia" w:ascii="仿宋_GB2312" w:hAnsi="Times New Roman" w:eastAsia="仿宋_GB2312"/>
                <w:kern w:val="0"/>
                <w:sz w:val="20"/>
                <w:szCs w:val="20"/>
              </w:rPr>
              <w:t>合计</w:t>
            </w:r>
          </w:p>
        </w:tc>
        <w:tc>
          <w:tcPr>
            <w:tcW w:w="1837"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327</w:t>
            </w:r>
          </w:p>
        </w:tc>
        <w:tc>
          <w:tcPr>
            <w:tcW w:w="17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24500</w:t>
            </w:r>
          </w:p>
        </w:tc>
      </w:tr>
    </w:tbl>
    <w:p>
      <w:pPr>
        <w:pStyle w:val="5"/>
        <w:rPr>
          <w:rFonts w:ascii="Times New Roman" w:hAnsi="Times New Roman"/>
        </w:rPr>
      </w:pPr>
      <w:r>
        <w:rPr>
          <w:rFonts w:ascii="Times New Roman" w:hAnsi="Times New Roman"/>
        </w:rPr>
        <w:t>抗旱应急</w:t>
      </w:r>
      <w:r>
        <w:rPr>
          <w:rFonts w:hint="eastAsia" w:ascii="Times New Roman" w:hAnsi="Times New Roman"/>
        </w:rPr>
        <w:t>提水</w:t>
      </w:r>
      <w:r>
        <w:rPr>
          <w:rFonts w:ascii="Times New Roman" w:hAnsi="Times New Roman"/>
        </w:rPr>
        <w:t>工程</w:t>
      </w:r>
    </w:p>
    <w:p>
      <w:pPr>
        <w:pStyle w:val="3"/>
        <w:ind w:firstLine="576"/>
      </w:pPr>
      <w:r>
        <w:t xml:space="preserve"> “十四五”规划实施连通工程</w:t>
      </w:r>
      <w:r>
        <w:rPr>
          <w:rFonts w:hint="eastAsia"/>
        </w:rPr>
        <w:t>11</w:t>
      </w:r>
      <w:r>
        <w:t>项，涉及</w:t>
      </w:r>
      <w:r>
        <w:rPr>
          <w:rFonts w:hint="eastAsia"/>
        </w:rPr>
        <w:t>11</w:t>
      </w:r>
      <w:r>
        <w:t>个乡镇，供水线路长</w:t>
      </w:r>
      <w:r>
        <w:rPr>
          <w:rFonts w:hint="eastAsia"/>
        </w:rPr>
        <w:t>360.1</w:t>
      </w:r>
      <w:r>
        <w:t>km，总</w:t>
      </w:r>
      <w:r>
        <w:rPr>
          <w:rFonts w:hint="eastAsia"/>
        </w:rPr>
        <w:t>投资21786万元</w:t>
      </w:r>
      <w:r>
        <w:t>。</w:t>
      </w:r>
    </w:p>
    <w:p>
      <w:pPr>
        <w:pStyle w:val="3"/>
        <w:ind w:firstLine="0" w:firstLineChars="0"/>
        <w:jc w:val="center"/>
        <w:rPr>
          <w:rFonts w:eastAsia="黑体" w:cs="Arial"/>
          <w:spacing w:val="0"/>
          <w:sz w:val="24"/>
        </w:rPr>
      </w:pPr>
      <w:r>
        <w:rPr>
          <w:rFonts w:hint="eastAsia" w:eastAsia="黑体" w:cs="Arial"/>
          <w:spacing w:val="0"/>
          <w:sz w:val="24"/>
        </w:rPr>
        <w:t xml:space="preserve">表 </w:t>
      </w:r>
      <w:r>
        <w:rPr>
          <w:rFonts w:eastAsia="黑体" w:cs="Arial"/>
          <w:spacing w:val="0"/>
          <w:sz w:val="24"/>
        </w:rPr>
        <w:fldChar w:fldCharType="begin"/>
      </w:r>
      <w:r>
        <w:rPr>
          <w:rFonts w:eastAsia="黑体" w:cs="Arial"/>
          <w:spacing w:val="0"/>
          <w:sz w:val="24"/>
        </w:rPr>
        <w:instrText xml:space="preserve"> </w:instrText>
      </w:r>
      <w:r>
        <w:rPr>
          <w:rFonts w:hint="eastAsia" w:eastAsia="黑体" w:cs="Arial"/>
          <w:spacing w:val="0"/>
          <w:sz w:val="24"/>
        </w:rPr>
        <w:instrText xml:space="preserve">STYLEREF 2 \s</w:instrText>
      </w:r>
      <w:r>
        <w:rPr>
          <w:rFonts w:eastAsia="黑体" w:cs="Arial"/>
          <w:spacing w:val="0"/>
          <w:sz w:val="24"/>
        </w:rPr>
        <w:instrText xml:space="preserve"> </w:instrText>
      </w:r>
      <w:r>
        <w:rPr>
          <w:rFonts w:eastAsia="黑体" w:cs="Arial"/>
          <w:spacing w:val="0"/>
          <w:sz w:val="24"/>
        </w:rPr>
        <w:fldChar w:fldCharType="separate"/>
      </w:r>
      <w:r>
        <w:rPr>
          <w:rFonts w:eastAsia="黑体" w:cs="Arial"/>
          <w:spacing w:val="0"/>
          <w:sz w:val="24"/>
        </w:rPr>
        <w:t>5.4</w:t>
      </w:r>
      <w:r>
        <w:rPr>
          <w:rFonts w:eastAsia="黑体" w:cs="Arial"/>
          <w:spacing w:val="0"/>
          <w:sz w:val="24"/>
        </w:rPr>
        <w:fldChar w:fldCharType="end"/>
      </w:r>
      <w:r>
        <w:rPr>
          <w:rFonts w:eastAsia="黑体" w:cs="Arial"/>
          <w:spacing w:val="0"/>
          <w:sz w:val="24"/>
        </w:rPr>
        <w:t>.</w:t>
      </w:r>
      <w:r>
        <w:rPr>
          <w:rFonts w:eastAsia="黑体" w:cs="Arial"/>
          <w:spacing w:val="0"/>
          <w:sz w:val="24"/>
        </w:rPr>
        <w:fldChar w:fldCharType="begin"/>
      </w:r>
      <w:r>
        <w:rPr>
          <w:rFonts w:eastAsia="黑体" w:cs="Arial"/>
          <w:spacing w:val="0"/>
          <w:sz w:val="24"/>
        </w:rPr>
        <w:instrText xml:space="preserve"> </w:instrText>
      </w:r>
      <w:r>
        <w:rPr>
          <w:rFonts w:hint="eastAsia" w:eastAsia="黑体" w:cs="Arial"/>
          <w:spacing w:val="0"/>
          <w:sz w:val="24"/>
        </w:rPr>
        <w:instrText xml:space="preserve">SEQ 表 \* ARABIC \s 2</w:instrText>
      </w:r>
      <w:r>
        <w:rPr>
          <w:rFonts w:eastAsia="黑体" w:cs="Arial"/>
          <w:spacing w:val="0"/>
          <w:sz w:val="24"/>
        </w:rPr>
        <w:instrText xml:space="preserve"> </w:instrText>
      </w:r>
      <w:r>
        <w:rPr>
          <w:rFonts w:eastAsia="黑体" w:cs="Arial"/>
          <w:spacing w:val="0"/>
          <w:sz w:val="24"/>
        </w:rPr>
        <w:fldChar w:fldCharType="separate"/>
      </w:r>
      <w:r>
        <w:rPr>
          <w:rFonts w:eastAsia="黑体" w:cs="Arial"/>
          <w:spacing w:val="0"/>
          <w:sz w:val="24"/>
        </w:rPr>
        <w:t>2</w:t>
      </w:r>
      <w:r>
        <w:rPr>
          <w:rFonts w:eastAsia="黑体" w:cs="Arial"/>
          <w:spacing w:val="0"/>
          <w:sz w:val="24"/>
        </w:rPr>
        <w:fldChar w:fldCharType="end"/>
      </w:r>
      <w:r>
        <w:rPr>
          <w:rFonts w:hint="eastAsia" w:eastAsia="黑体" w:cs="Arial"/>
          <w:spacing w:val="0"/>
          <w:sz w:val="24"/>
        </w:rPr>
        <w:t xml:space="preserve"> 勐海</w:t>
      </w:r>
      <w:r>
        <w:rPr>
          <w:rFonts w:eastAsia="黑体" w:cs="Arial"/>
          <w:spacing w:val="0"/>
          <w:sz w:val="24"/>
        </w:rPr>
        <w:t>县“十四五”抗旱应急连通工程项目表</w:t>
      </w:r>
    </w:p>
    <w:tbl>
      <w:tblPr>
        <w:tblStyle w:val="32"/>
        <w:tblW w:w="8936" w:type="dxa"/>
        <w:tblInd w:w="0" w:type="dxa"/>
        <w:tblLayout w:type="fixed"/>
        <w:tblCellMar>
          <w:top w:w="0" w:type="dxa"/>
          <w:left w:w="108" w:type="dxa"/>
          <w:bottom w:w="0" w:type="dxa"/>
          <w:right w:w="108" w:type="dxa"/>
        </w:tblCellMar>
      </w:tblPr>
      <w:tblGrid>
        <w:gridCol w:w="548"/>
        <w:gridCol w:w="2849"/>
        <w:gridCol w:w="1404"/>
        <w:gridCol w:w="1404"/>
        <w:gridCol w:w="1516"/>
        <w:gridCol w:w="1215"/>
      </w:tblGrid>
      <w:tr>
        <w:tblPrEx>
          <w:tblLayout w:type="fixed"/>
          <w:tblCellMar>
            <w:top w:w="0" w:type="dxa"/>
            <w:left w:w="108" w:type="dxa"/>
            <w:bottom w:w="0" w:type="dxa"/>
            <w:right w:w="108" w:type="dxa"/>
          </w:tblCellMar>
        </w:tblPrEx>
        <w:trPr>
          <w:trHeight w:val="516" w:hRule="atLeast"/>
          <w:tblHeader/>
        </w:trPr>
        <w:tc>
          <w:tcPr>
            <w:tcW w:w="548" w:type="dxa"/>
            <w:tcBorders>
              <w:top w:val="single" w:color="auto" w:sz="8" w:space="0"/>
              <w:left w:val="single" w:color="auto" w:sz="8" w:space="0"/>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编号</w:t>
            </w:r>
          </w:p>
        </w:tc>
        <w:tc>
          <w:tcPr>
            <w:tcW w:w="2849"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18"/>
                <w:szCs w:val="18"/>
              </w:rPr>
            </w:pPr>
            <w:r>
              <w:rPr>
                <w:rFonts w:hint="eastAsia" w:ascii="仿宋_GB2312" w:eastAsia="仿宋_GB2312" w:cs="宋体"/>
                <w:kern w:val="0"/>
                <w:sz w:val="18"/>
                <w:szCs w:val="18"/>
              </w:rPr>
              <w:t>名称</w:t>
            </w:r>
          </w:p>
        </w:tc>
        <w:tc>
          <w:tcPr>
            <w:tcW w:w="1404"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18"/>
                <w:szCs w:val="18"/>
              </w:rPr>
            </w:pPr>
            <w:r>
              <w:rPr>
                <w:rFonts w:hint="eastAsia" w:ascii="仿宋_GB2312" w:eastAsia="仿宋_GB2312" w:cs="宋体"/>
                <w:kern w:val="0"/>
                <w:sz w:val="18"/>
                <w:szCs w:val="18"/>
              </w:rPr>
              <w:t>所在乡镇</w:t>
            </w:r>
          </w:p>
        </w:tc>
        <w:tc>
          <w:tcPr>
            <w:tcW w:w="1404"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18"/>
                <w:szCs w:val="18"/>
              </w:rPr>
            </w:pPr>
            <w:r>
              <w:rPr>
                <w:rFonts w:hint="eastAsia" w:ascii="仿宋_GB2312" w:eastAsia="仿宋_GB2312" w:cs="宋体"/>
                <w:kern w:val="0"/>
                <w:sz w:val="18"/>
                <w:szCs w:val="18"/>
              </w:rPr>
              <w:t>供水乡镇</w:t>
            </w:r>
          </w:p>
        </w:tc>
        <w:tc>
          <w:tcPr>
            <w:tcW w:w="1516"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18"/>
                <w:szCs w:val="18"/>
              </w:rPr>
            </w:pPr>
            <w:r>
              <w:rPr>
                <w:rFonts w:hint="eastAsia" w:ascii="仿宋_GB2312" w:eastAsia="仿宋_GB2312" w:cs="宋体"/>
                <w:kern w:val="0"/>
                <w:sz w:val="18"/>
                <w:szCs w:val="18"/>
              </w:rPr>
              <w:t>供水线路长度（</w:t>
            </w:r>
            <w:r>
              <w:rPr>
                <w:rFonts w:ascii="Times New Roman" w:hAnsi="Times New Roman" w:eastAsia="仿宋_GB2312"/>
                <w:kern w:val="0"/>
                <w:sz w:val="18"/>
                <w:szCs w:val="18"/>
              </w:rPr>
              <w:t>km</w:t>
            </w:r>
            <w:r>
              <w:rPr>
                <w:rFonts w:hint="eastAsia" w:ascii="仿宋_GB2312" w:eastAsia="仿宋_GB2312" w:cs="宋体"/>
                <w:kern w:val="0"/>
                <w:sz w:val="18"/>
                <w:szCs w:val="18"/>
              </w:rPr>
              <w:t>）</w:t>
            </w:r>
          </w:p>
        </w:tc>
        <w:tc>
          <w:tcPr>
            <w:tcW w:w="1215" w:type="dxa"/>
            <w:tcBorders>
              <w:top w:val="single" w:color="auto" w:sz="8" w:space="0"/>
              <w:left w:val="nil"/>
              <w:bottom w:val="single" w:color="auto" w:sz="4" w:space="0"/>
              <w:right w:val="single" w:color="auto" w:sz="8" w:space="0"/>
            </w:tcBorders>
            <w:shd w:val="clear" w:color="auto" w:fill="auto"/>
            <w:vAlign w:val="center"/>
          </w:tcPr>
          <w:p>
            <w:pPr>
              <w:widowControl/>
              <w:jc w:val="center"/>
              <w:rPr>
                <w:rFonts w:ascii="仿宋_GB2312" w:eastAsia="仿宋_GB2312" w:cs="宋体"/>
                <w:kern w:val="0"/>
                <w:sz w:val="18"/>
                <w:szCs w:val="18"/>
              </w:rPr>
            </w:pPr>
            <w:r>
              <w:rPr>
                <w:rFonts w:hint="eastAsia" w:ascii="仿宋_GB2312" w:eastAsia="仿宋_GB2312" w:cs="宋体"/>
                <w:kern w:val="0"/>
                <w:sz w:val="18"/>
                <w:szCs w:val="18"/>
              </w:rPr>
              <w:t>总投资（万元）</w:t>
            </w:r>
          </w:p>
        </w:tc>
      </w:tr>
      <w:tr>
        <w:tblPrEx>
          <w:tblLayout w:type="fixed"/>
          <w:tblCellMar>
            <w:top w:w="0" w:type="dxa"/>
            <w:left w:w="108" w:type="dxa"/>
            <w:bottom w:w="0" w:type="dxa"/>
            <w:right w:w="108" w:type="dxa"/>
          </w:tblCellMar>
        </w:tblPrEx>
        <w:trPr>
          <w:trHeight w:val="492" w:hRule="atLeast"/>
        </w:trPr>
        <w:tc>
          <w:tcPr>
            <w:tcW w:w="54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w:t>
            </w:r>
          </w:p>
        </w:tc>
        <w:tc>
          <w:tcPr>
            <w:tcW w:w="2849"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布朗山乡集镇供水工程</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布朗山乡</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布朗山乡</w:t>
            </w:r>
          </w:p>
        </w:tc>
        <w:tc>
          <w:tcPr>
            <w:tcW w:w="1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50</w:t>
            </w:r>
          </w:p>
        </w:tc>
        <w:tc>
          <w:tcPr>
            <w:tcW w:w="1215"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1000</w:t>
            </w:r>
          </w:p>
        </w:tc>
      </w:tr>
      <w:tr>
        <w:tblPrEx>
          <w:tblLayout w:type="fixed"/>
          <w:tblCellMar>
            <w:top w:w="0" w:type="dxa"/>
            <w:left w:w="108" w:type="dxa"/>
            <w:bottom w:w="0" w:type="dxa"/>
            <w:right w:w="108" w:type="dxa"/>
          </w:tblCellMar>
        </w:tblPrEx>
        <w:trPr>
          <w:trHeight w:val="492" w:hRule="atLeast"/>
        </w:trPr>
        <w:tc>
          <w:tcPr>
            <w:tcW w:w="54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w:t>
            </w:r>
          </w:p>
        </w:tc>
        <w:tc>
          <w:tcPr>
            <w:tcW w:w="2849"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曼马村光伏提水工程</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西定乡</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西定乡</w:t>
            </w:r>
          </w:p>
        </w:tc>
        <w:tc>
          <w:tcPr>
            <w:tcW w:w="1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30</w:t>
            </w:r>
          </w:p>
        </w:tc>
        <w:tc>
          <w:tcPr>
            <w:tcW w:w="1215"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2500</w:t>
            </w:r>
          </w:p>
        </w:tc>
      </w:tr>
      <w:tr>
        <w:tblPrEx>
          <w:tblLayout w:type="fixed"/>
          <w:tblCellMar>
            <w:top w:w="0" w:type="dxa"/>
            <w:left w:w="108" w:type="dxa"/>
            <w:bottom w:w="0" w:type="dxa"/>
            <w:right w:w="108" w:type="dxa"/>
          </w:tblCellMar>
        </w:tblPrEx>
        <w:trPr>
          <w:trHeight w:val="492" w:hRule="atLeast"/>
        </w:trPr>
        <w:tc>
          <w:tcPr>
            <w:tcW w:w="54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w:t>
            </w:r>
          </w:p>
        </w:tc>
        <w:tc>
          <w:tcPr>
            <w:tcW w:w="2849"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旧过村光伏能提水工程</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西定乡</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西定乡</w:t>
            </w:r>
          </w:p>
        </w:tc>
        <w:tc>
          <w:tcPr>
            <w:tcW w:w="1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30</w:t>
            </w:r>
          </w:p>
        </w:tc>
        <w:tc>
          <w:tcPr>
            <w:tcW w:w="1215"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2500</w:t>
            </w:r>
          </w:p>
        </w:tc>
      </w:tr>
      <w:tr>
        <w:tblPrEx>
          <w:tblLayout w:type="fixed"/>
          <w:tblCellMar>
            <w:top w:w="0" w:type="dxa"/>
            <w:left w:w="108" w:type="dxa"/>
            <w:bottom w:w="0" w:type="dxa"/>
            <w:right w:w="108" w:type="dxa"/>
          </w:tblCellMar>
        </w:tblPrEx>
        <w:trPr>
          <w:trHeight w:val="492" w:hRule="atLeast"/>
        </w:trPr>
        <w:tc>
          <w:tcPr>
            <w:tcW w:w="54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4</w:t>
            </w:r>
          </w:p>
        </w:tc>
        <w:tc>
          <w:tcPr>
            <w:tcW w:w="2849"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帕宫村集中供水工程</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格朗和乡</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格朗和乡</w:t>
            </w:r>
          </w:p>
        </w:tc>
        <w:tc>
          <w:tcPr>
            <w:tcW w:w="1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30</w:t>
            </w:r>
          </w:p>
        </w:tc>
        <w:tc>
          <w:tcPr>
            <w:tcW w:w="1215"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1000</w:t>
            </w:r>
          </w:p>
        </w:tc>
      </w:tr>
      <w:tr>
        <w:tblPrEx>
          <w:tblLayout w:type="fixed"/>
          <w:tblCellMar>
            <w:top w:w="0" w:type="dxa"/>
            <w:left w:w="108" w:type="dxa"/>
            <w:bottom w:w="0" w:type="dxa"/>
            <w:right w:w="108" w:type="dxa"/>
          </w:tblCellMar>
        </w:tblPrEx>
        <w:trPr>
          <w:trHeight w:val="492" w:hRule="atLeast"/>
        </w:trPr>
        <w:tc>
          <w:tcPr>
            <w:tcW w:w="54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w:t>
            </w:r>
          </w:p>
        </w:tc>
        <w:tc>
          <w:tcPr>
            <w:tcW w:w="2849"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章家村光伏提水工程</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布朗山乡</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布朗山乡</w:t>
            </w:r>
          </w:p>
        </w:tc>
        <w:tc>
          <w:tcPr>
            <w:tcW w:w="1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30</w:t>
            </w:r>
          </w:p>
        </w:tc>
        <w:tc>
          <w:tcPr>
            <w:tcW w:w="1215"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1800</w:t>
            </w:r>
          </w:p>
        </w:tc>
      </w:tr>
      <w:tr>
        <w:tblPrEx>
          <w:tblLayout w:type="fixed"/>
          <w:tblCellMar>
            <w:top w:w="0" w:type="dxa"/>
            <w:left w:w="108" w:type="dxa"/>
            <w:bottom w:w="0" w:type="dxa"/>
            <w:right w:w="108" w:type="dxa"/>
          </w:tblCellMar>
        </w:tblPrEx>
        <w:trPr>
          <w:trHeight w:val="516" w:hRule="atLeast"/>
        </w:trPr>
        <w:tc>
          <w:tcPr>
            <w:tcW w:w="54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6</w:t>
            </w:r>
          </w:p>
        </w:tc>
        <w:tc>
          <w:tcPr>
            <w:tcW w:w="2849"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西定乡光伏提水工程</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西定乡</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西定乡</w:t>
            </w:r>
          </w:p>
        </w:tc>
        <w:tc>
          <w:tcPr>
            <w:tcW w:w="1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20</w:t>
            </w:r>
          </w:p>
        </w:tc>
        <w:tc>
          <w:tcPr>
            <w:tcW w:w="1215"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1800</w:t>
            </w:r>
          </w:p>
        </w:tc>
      </w:tr>
      <w:tr>
        <w:tblPrEx>
          <w:tblLayout w:type="fixed"/>
          <w:tblCellMar>
            <w:top w:w="0" w:type="dxa"/>
            <w:left w:w="108" w:type="dxa"/>
            <w:bottom w:w="0" w:type="dxa"/>
            <w:right w:w="108" w:type="dxa"/>
          </w:tblCellMar>
        </w:tblPrEx>
        <w:trPr>
          <w:trHeight w:val="480" w:hRule="atLeast"/>
        </w:trPr>
        <w:tc>
          <w:tcPr>
            <w:tcW w:w="54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7</w:t>
            </w:r>
          </w:p>
        </w:tc>
        <w:tc>
          <w:tcPr>
            <w:tcW w:w="2849"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勐遮镇供水工程</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勐遮镇</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勐遮镇</w:t>
            </w:r>
          </w:p>
        </w:tc>
        <w:tc>
          <w:tcPr>
            <w:tcW w:w="1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20</w:t>
            </w:r>
          </w:p>
        </w:tc>
        <w:tc>
          <w:tcPr>
            <w:tcW w:w="1215"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2800</w:t>
            </w:r>
          </w:p>
        </w:tc>
      </w:tr>
      <w:tr>
        <w:tblPrEx>
          <w:tblLayout w:type="fixed"/>
          <w:tblCellMar>
            <w:top w:w="0" w:type="dxa"/>
            <w:left w:w="108" w:type="dxa"/>
            <w:bottom w:w="0" w:type="dxa"/>
            <w:right w:w="108" w:type="dxa"/>
          </w:tblCellMar>
        </w:tblPrEx>
        <w:trPr>
          <w:trHeight w:val="480" w:hRule="atLeast"/>
        </w:trPr>
        <w:tc>
          <w:tcPr>
            <w:tcW w:w="54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8</w:t>
            </w:r>
          </w:p>
        </w:tc>
        <w:tc>
          <w:tcPr>
            <w:tcW w:w="2849"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南糯山集中供水工程</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格朗和乡</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格朗和乡</w:t>
            </w:r>
          </w:p>
        </w:tc>
        <w:tc>
          <w:tcPr>
            <w:tcW w:w="1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50</w:t>
            </w:r>
          </w:p>
        </w:tc>
        <w:tc>
          <w:tcPr>
            <w:tcW w:w="1215"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1900</w:t>
            </w:r>
          </w:p>
        </w:tc>
      </w:tr>
      <w:tr>
        <w:tblPrEx>
          <w:tblLayout w:type="fixed"/>
          <w:tblCellMar>
            <w:top w:w="0" w:type="dxa"/>
            <w:left w:w="108" w:type="dxa"/>
            <w:bottom w:w="0" w:type="dxa"/>
            <w:right w:w="108" w:type="dxa"/>
          </w:tblCellMar>
        </w:tblPrEx>
        <w:trPr>
          <w:trHeight w:val="480" w:hRule="atLeast"/>
        </w:trPr>
        <w:tc>
          <w:tcPr>
            <w:tcW w:w="54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9</w:t>
            </w:r>
          </w:p>
        </w:tc>
        <w:tc>
          <w:tcPr>
            <w:tcW w:w="2849"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老班章供水工程</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布朗山乡</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布朗山乡</w:t>
            </w:r>
          </w:p>
        </w:tc>
        <w:tc>
          <w:tcPr>
            <w:tcW w:w="1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20</w:t>
            </w:r>
          </w:p>
        </w:tc>
        <w:tc>
          <w:tcPr>
            <w:tcW w:w="1215"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200</w:t>
            </w:r>
          </w:p>
        </w:tc>
      </w:tr>
      <w:tr>
        <w:tblPrEx>
          <w:tblLayout w:type="fixed"/>
          <w:tblCellMar>
            <w:top w:w="0" w:type="dxa"/>
            <w:left w:w="108" w:type="dxa"/>
            <w:bottom w:w="0" w:type="dxa"/>
            <w:right w:w="108" w:type="dxa"/>
          </w:tblCellMar>
        </w:tblPrEx>
        <w:trPr>
          <w:trHeight w:val="480" w:hRule="atLeast"/>
        </w:trPr>
        <w:tc>
          <w:tcPr>
            <w:tcW w:w="54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10</w:t>
            </w:r>
          </w:p>
        </w:tc>
        <w:tc>
          <w:tcPr>
            <w:tcW w:w="2849"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曼尾村集中供水工程</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勐混镇</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勐混镇</w:t>
            </w:r>
          </w:p>
        </w:tc>
        <w:tc>
          <w:tcPr>
            <w:tcW w:w="1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30</w:t>
            </w:r>
          </w:p>
        </w:tc>
        <w:tc>
          <w:tcPr>
            <w:tcW w:w="1215"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300</w:t>
            </w:r>
          </w:p>
        </w:tc>
      </w:tr>
      <w:tr>
        <w:tblPrEx>
          <w:tblLayout w:type="fixed"/>
          <w:tblCellMar>
            <w:top w:w="0" w:type="dxa"/>
            <w:left w:w="108" w:type="dxa"/>
            <w:bottom w:w="0" w:type="dxa"/>
            <w:right w:w="108" w:type="dxa"/>
          </w:tblCellMar>
        </w:tblPrEx>
        <w:trPr>
          <w:trHeight w:val="960" w:hRule="atLeast"/>
        </w:trPr>
        <w:tc>
          <w:tcPr>
            <w:tcW w:w="548"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11</w:t>
            </w:r>
          </w:p>
        </w:tc>
        <w:tc>
          <w:tcPr>
            <w:tcW w:w="2849"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班章、老曼峨、贺开片区茶山灌溉提水工程</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勐混镇、布朗山乡</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cs="宋体"/>
                <w:kern w:val="0"/>
                <w:sz w:val="20"/>
                <w:szCs w:val="20"/>
              </w:rPr>
            </w:pPr>
            <w:r>
              <w:rPr>
                <w:rFonts w:hint="eastAsia" w:cs="宋体"/>
                <w:kern w:val="0"/>
                <w:sz w:val="20"/>
                <w:szCs w:val="20"/>
              </w:rPr>
              <w:t>勐混镇、布朗山乡</w:t>
            </w:r>
          </w:p>
        </w:tc>
        <w:tc>
          <w:tcPr>
            <w:tcW w:w="1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20</w:t>
            </w:r>
          </w:p>
        </w:tc>
        <w:tc>
          <w:tcPr>
            <w:tcW w:w="1215"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2500</w:t>
            </w:r>
          </w:p>
        </w:tc>
      </w:tr>
      <w:tr>
        <w:tblPrEx>
          <w:tblLayout w:type="fixed"/>
          <w:tblCellMar>
            <w:top w:w="0" w:type="dxa"/>
            <w:left w:w="108" w:type="dxa"/>
            <w:bottom w:w="0" w:type="dxa"/>
            <w:right w:w="108" w:type="dxa"/>
          </w:tblCellMar>
        </w:tblPrEx>
        <w:trPr>
          <w:trHeight w:val="300" w:hRule="atLeast"/>
        </w:trPr>
        <w:tc>
          <w:tcPr>
            <w:tcW w:w="6205" w:type="dxa"/>
            <w:gridSpan w:val="4"/>
            <w:tcBorders>
              <w:top w:val="single" w:color="auto" w:sz="4" w:space="0"/>
              <w:left w:val="single" w:color="auto" w:sz="8" w:space="0"/>
              <w:bottom w:val="single" w:color="auto" w:sz="8" w:space="0"/>
              <w:right w:val="single" w:color="000000"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合计</w:t>
            </w:r>
          </w:p>
        </w:tc>
        <w:tc>
          <w:tcPr>
            <w:tcW w:w="1516" w:type="dxa"/>
            <w:tcBorders>
              <w:top w:val="nil"/>
              <w:left w:val="nil"/>
              <w:bottom w:val="single" w:color="auto" w:sz="8"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360.1</w:t>
            </w:r>
          </w:p>
        </w:tc>
        <w:tc>
          <w:tcPr>
            <w:tcW w:w="121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21786</w:t>
            </w:r>
          </w:p>
        </w:tc>
      </w:tr>
      <w:bookmarkEnd w:id="53"/>
    </w:tbl>
    <w:p>
      <w:pPr>
        <w:pStyle w:val="4"/>
        <w:tabs>
          <w:tab w:val="clear" w:pos="431"/>
        </w:tabs>
      </w:pPr>
      <w:bookmarkStart w:id="56" w:name="_Toc62461324"/>
      <w:bookmarkStart w:id="57" w:name="_Toc49452708"/>
      <w:bookmarkStart w:id="58" w:name="_Toc43754893"/>
      <w:r>
        <w:rPr>
          <w:rFonts w:hint="eastAsia" w:ascii="Times New Roman" w:hAnsi="Times New Roman"/>
        </w:rPr>
        <w:t>大型灌区</w:t>
      </w:r>
      <w:r>
        <w:rPr>
          <w:rFonts w:hint="eastAsia"/>
        </w:rPr>
        <w:t>现代化建设与改造</w:t>
      </w:r>
      <w:bookmarkEnd w:id="56"/>
    </w:p>
    <w:p>
      <w:pPr>
        <w:pStyle w:val="3"/>
        <w:ind w:firstLine="576"/>
      </w:pPr>
      <w:commentRangeStart w:id="35"/>
      <w:r>
        <w:rPr>
          <w:rFonts w:hint="eastAsia"/>
        </w:rPr>
        <w:t>勐海</w:t>
      </w:r>
      <w:commentRangeEnd w:id="35"/>
      <w:r>
        <w:rPr>
          <w:rStyle w:val="39"/>
          <w:rFonts w:ascii="宋体" w:hAnsi="宋体" w:eastAsia="宋体"/>
          <w:color w:val="000000"/>
          <w:spacing w:val="0"/>
        </w:rPr>
        <w:commentReference w:id="35"/>
      </w:r>
      <w:r>
        <w:rPr>
          <w:rFonts w:hint="eastAsia"/>
        </w:rPr>
        <w:t>县大型灌区在十三五期间已完成节水续建配套工程2件，量测水设施建设1件，已经完成批复规划建设内容，工程建设后，改善了灌区水利基础设施条件和灌溉条件。但灌区内田间配套渠道和田间排水问题突出，需要完善田间配套渠道和田间排水系统。“十四五”规划对勐海大型灌区进行及生态灌区建设，工程总投资12亿元。大型灌区主要水源包括流沙河干支流、</w:t>
      </w:r>
      <w:r>
        <w:t>4座中型、9件小（一）型水库、44座小（二）型水库、9座拦河闸、坝塘及小型引水工程供水等</w:t>
      </w:r>
      <w:r>
        <w:rPr>
          <w:rFonts w:hint="eastAsia"/>
        </w:rPr>
        <w:t>，总</w:t>
      </w:r>
      <w:r>
        <w:t>取水量15489.03万</w:t>
      </w:r>
      <w:r>
        <w:rPr>
          <w:rFonts w:hint="eastAsia"/>
        </w:rPr>
        <w:t>m</w:t>
      </w:r>
      <w:r>
        <w:rPr>
          <w:rFonts w:hint="eastAsia"/>
          <w:vertAlign w:val="superscript"/>
        </w:rPr>
        <w:t>3</w:t>
      </w:r>
      <w:r>
        <w:rPr>
          <w:rFonts w:hint="eastAsia"/>
        </w:rPr>
        <w:t>，设计灌溉面积31.29万亩。新建骨干渠道15km，新建建筑物数量500处，投资1亿元；新建排水沟10km，建筑物数量200处，投资1亿元。大型灌区生态及水文化建设投资6000万元，灌溉试验站建设投资3亿元，管理设施投资6.4亿元。</w:t>
      </w:r>
      <w:r>
        <w:t>灌区现代化建设完成后</w:t>
      </w:r>
      <w:r>
        <w:rPr>
          <w:rFonts w:hint="eastAsia"/>
        </w:rPr>
        <w:t>，</w:t>
      </w:r>
      <w:r>
        <w:t>将有效促进灌区国民经济的可持续发展，为粮</w:t>
      </w:r>
      <w:r>
        <w:rPr>
          <w:rFonts w:hint="eastAsia"/>
        </w:rPr>
        <w:t>食主产区创造一个坚实的水利基础。</w:t>
      </w:r>
    </w:p>
    <w:p>
      <w:pPr>
        <w:pStyle w:val="4"/>
        <w:rPr>
          <w:rFonts w:ascii="Times New Roman" w:hAnsi="Times New Roman"/>
        </w:rPr>
      </w:pPr>
      <w:bookmarkStart w:id="59" w:name="_Toc62461325"/>
      <w:r>
        <w:rPr>
          <w:rFonts w:hint="eastAsia" w:ascii="Times New Roman" w:hAnsi="Times New Roman"/>
        </w:rPr>
        <w:t>“十四五”农村饮水安全巩固提升工程</w:t>
      </w:r>
      <w:bookmarkEnd w:id="59"/>
    </w:p>
    <w:p>
      <w:pPr>
        <w:pStyle w:val="3"/>
        <w:ind w:firstLine="576"/>
      </w:pPr>
      <w:r>
        <w:t>按照城乡区域协调发展和乡村振兴战略部署，聚焦民生改善，</w:t>
      </w:r>
      <w:r>
        <w:rPr>
          <w:rFonts w:hint="eastAsia"/>
        </w:rPr>
        <w:t>大力推进城乡一体化规模化农村供水工程建设，加强分散小型农村供水工程标准化建设，强化饮用水水源保护，深化工程建设和管护体制机制改革不断提升供水保障水平。</w:t>
      </w:r>
      <w:r>
        <w:t>规划通过扩大延伸城市供水管网、建设集中供水设施、提升运行管护能力等措施，进一步提高农村地区集中供水率、自来水普及率、供水保证率，提高城乡供水一体化水平。</w:t>
      </w:r>
    </w:p>
    <w:p>
      <w:pPr>
        <w:pStyle w:val="3"/>
        <w:ind w:firstLine="576"/>
        <w:rPr>
          <w:lang w:val="en-GB"/>
        </w:rPr>
      </w:pPr>
      <w:r>
        <w:rPr>
          <w:rFonts w:hint="eastAsia"/>
        </w:rPr>
        <w:t>勐海县</w:t>
      </w:r>
      <w:r>
        <w:rPr>
          <w:rFonts w:hint="eastAsia"/>
          <w:lang w:val="en-GB"/>
        </w:rPr>
        <w:t>“十四五”农村饮水</w:t>
      </w:r>
      <w:r>
        <w:rPr>
          <w:rFonts w:hint="eastAsia"/>
        </w:rPr>
        <w:t>安全巩固提升工程</w:t>
      </w:r>
      <w:r>
        <w:rPr>
          <w:rFonts w:hint="eastAsia"/>
          <w:lang w:val="en-GB"/>
        </w:rPr>
        <w:t>项目涉及</w:t>
      </w:r>
      <w:r>
        <w:rPr>
          <w:rFonts w:hint="eastAsia"/>
        </w:rPr>
        <w:t>11</w:t>
      </w:r>
      <w:r>
        <w:rPr>
          <w:rFonts w:hint="eastAsia"/>
          <w:lang w:val="en-GB"/>
        </w:rPr>
        <w:t>个乡镇</w:t>
      </w:r>
      <w:r>
        <w:rPr>
          <w:lang w:val="en-GB"/>
        </w:rPr>
        <w:t>，</w:t>
      </w:r>
      <w:r>
        <w:rPr>
          <w:rFonts w:hint="eastAsia"/>
          <w:lang w:val="en-GB"/>
        </w:rPr>
        <w:t>共建工程</w:t>
      </w:r>
      <w:r>
        <w:rPr>
          <w:rFonts w:hint="eastAsia"/>
        </w:rPr>
        <w:t>405</w:t>
      </w:r>
      <w:r>
        <w:rPr>
          <w:rFonts w:hint="eastAsia"/>
          <w:lang w:val="en-GB"/>
        </w:rPr>
        <w:t>件，计划解决317753人的饮水问题，项目</w:t>
      </w:r>
      <w:r>
        <w:rPr>
          <w:lang w:val="en-GB"/>
        </w:rPr>
        <w:t>总投资</w:t>
      </w:r>
      <w:r>
        <w:rPr>
          <w:rFonts w:hint="eastAsia"/>
        </w:rPr>
        <w:t>100102.63</w:t>
      </w:r>
      <w:r>
        <w:rPr>
          <w:lang w:val="en-GB"/>
        </w:rPr>
        <w:t>万元</w:t>
      </w:r>
      <w:r>
        <w:rPr>
          <w:rFonts w:hint="eastAsia"/>
          <w:lang w:val="en-GB"/>
        </w:rPr>
        <w:t>，其中，水源工程投资</w:t>
      </w:r>
      <w:r>
        <w:rPr>
          <w:rFonts w:hint="eastAsia"/>
        </w:rPr>
        <w:t>68807.91</w:t>
      </w:r>
      <w:r>
        <w:rPr>
          <w:rFonts w:hint="eastAsia"/>
          <w:lang w:val="en-GB"/>
        </w:rPr>
        <w:t>万元，水厂投资</w:t>
      </w:r>
      <w:r>
        <w:rPr>
          <w:rFonts w:hint="eastAsia"/>
        </w:rPr>
        <w:t>3060.00</w:t>
      </w:r>
      <w:r>
        <w:rPr>
          <w:rFonts w:hint="eastAsia"/>
          <w:lang w:val="en-GB"/>
        </w:rPr>
        <w:t>万元，输配水管网投资26597.35万元，计量装置投资477.37万元，规模化水厂能力建设投资</w:t>
      </w:r>
      <w:r>
        <w:rPr>
          <w:rFonts w:hint="eastAsia"/>
        </w:rPr>
        <w:t>175.00</w:t>
      </w:r>
      <w:r>
        <w:rPr>
          <w:rFonts w:hint="eastAsia"/>
          <w:lang w:val="en-GB"/>
        </w:rPr>
        <w:t>万元。按工程类型分类，规模化供水工程</w:t>
      </w:r>
      <w:r>
        <w:rPr>
          <w:rFonts w:hint="eastAsia"/>
        </w:rPr>
        <w:t>91636.82</w:t>
      </w:r>
      <w:r>
        <w:rPr>
          <w:rFonts w:hint="eastAsia"/>
          <w:lang w:val="en-GB"/>
        </w:rPr>
        <w:t>万元，小型供水工程</w:t>
      </w:r>
      <w:r>
        <w:rPr>
          <w:rFonts w:hint="eastAsia"/>
        </w:rPr>
        <w:t>6262.23</w:t>
      </w:r>
      <w:r>
        <w:rPr>
          <w:rFonts w:hint="eastAsia"/>
          <w:lang w:val="en-GB"/>
        </w:rPr>
        <w:t>万元，老旧供水工程和管网更新改造供水工程</w:t>
      </w:r>
      <w:r>
        <w:rPr>
          <w:rFonts w:hint="eastAsia"/>
        </w:rPr>
        <w:t>2203.59</w:t>
      </w:r>
      <w:r>
        <w:rPr>
          <w:rFonts w:hint="eastAsia"/>
          <w:lang w:val="en-GB"/>
        </w:rPr>
        <w:t>万元。</w:t>
      </w:r>
    </w:p>
    <w:p>
      <w:pPr>
        <w:pStyle w:val="3"/>
        <w:ind w:firstLine="0" w:firstLineChars="0"/>
        <w:jc w:val="center"/>
        <w:rPr>
          <w:rFonts w:eastAsia="黑体" w:cs="Arial"/>
          <w:spacing w:val="0"/>
          <w:sz w:val="24"/>
        </w:rPr>
      </w:pPr>
      <w:r>
        <w:rPr>
          <w:rFonts w:hint="eastAsia" w:eastAsia="黑体" w:cs="Arial"/>
          <w:spacing w:val="0"/>
          <w:sz w:val="24"/>
        </w:rPr>
        <w:t xml:space="preserve">表 </w:t>
      </w:r>
      <w:r>
        <w:rPr>
          <w:rFonts w:eastAsia="黑体" w:cs="Arial"/>
          <w:spacing w:val="0"/>
          <w:sz w:val="24"/>
        </w:rPr>
        <w:fldChar w:fldCharType="begin"/>
      </w:r>
      <w:r>
        <w:rPr>
          <w:rFonts w:eastAsia="黑体" w:cs="Arial"/>
          <w:spacing w:val="0"/>
          <w:sz w:val="24"/>
        </w:rPr>
        <w:instrText xml:space="preserve"> </w:instrText>
      </w:r>
      <w:r>
        <w:rPr>
          <w:rFonts w:hint="eastAsia" w:eastAsia="黑体" w:cs="Arial"/>
          <w:spacing w:val="0"/>
          <w:sz w:val="24"/>
        </w:rPr>
        <w:instrText xml:space="preserve">STYLEREF 2 \s</w:instrText>
      </w:r>
      <w:r>
        <w:rPr>
          <w:rFonts w:eastAsia="黑体" w:cs="Arial"/>
          <w:spacing w:val="0"/>
          <w:sz w:val="24"/>
        </w:rPr>
        <w:instrText xml:space="preserve"> </w:instrText>
      </w:r>
      <w:r>
        <w:rPr>
          <w:rFonts w:eastAsia="黑体" w:cs="Arial"/>
          <w:spacing w:val="0"/>
          <w:sz w:val="24"/>
        </w:rPr>
        <w:fldChar w:fldCharType="separate"/>
      </w:r>
      <w:r>
        <w:rPr>
          <w:rFonts w:eastAsia="黑体" w:cs="Arial"/>
          <w:spacing w:val="0"/>
          <w:sz w:val="24"/>
        </w:rPr>
        <w:t>5.6</w:t>
      </w:r>
      <w:r>
        <w:rPr>
          <w:rFonts w:eastAsia="黑体" w:cs="Arial"/>
          <w:spacing w:val="0"/>
          <w:sz w:val="24"/>
        </w:rPr>
        <w:fldChar w:fldCharType="end"/>
      </w:r>
      <w:r>
        <w:rPr>
          <w:rFonts w:eastAsia="黑体" w:cs="Arial"/>
          <w:spacing w:val="0"/>
          <w:sz w:val="24"/>
        </w:rPr>
        <w:t>.</w:t>
      </w:r>
      <w:r>
        <w:rPr>
          <w:rFonts w:eastAsia="黑体" w:cs="Arial"/>
          <w:spacing w:val="0"/>
          <w:sz w:val="24"/>
        </w:rPr>
        <w:fldChar w:fldCharType="begin"/>
      </w:r>
      <w:r>
        <w:rPr>
          <w:rFonts w:eastAsia="黑体" w:cs="Arial"/>
          <w:spacing w:val="0"/>
          <w:sz w:val="24"/>
        </w:rPr>
        <w:instrText xml:space="preserve"> </w:instrText>
      </w:r>
      <w:r>
        <w:rPr>
          <w:rFonts w:hint="eastAsia" w:eastAsia="黑体" w:cs="Arial"/>
          <w:spacing w:val="0"/>
          <w:sz w:val="24"/>
        </w:rPr>
        <w:instrText xml:space="preserve">SEQ 表 \* ARABIC \s 2</w:instrText>
      </w:r>
      <w:r>
        <w:rPr>
          <w:rFonts w:eastAsia="黑体" w:cs="Arial"/>
          <w:spacing w:val="0"/>
          <w:sz w:val="24"/>
        </w:rPr>
        <w:instrText xml:space="preserve"> </w:instrText>
      </w:r>
      <w:r>
        <w:rPr>
          <w:rFonts w:eastAsia="黑体" w:cs="Arial"/>
          <w:spacing w:val="0"/>
          <w:sz w:val="24"/>
        </w:rPr>
        <w:fldChar w:fldCharType="separate"/>
      </w:r>
      <w:r>
        <w:rPr>
          <w:rFonts w:eastAsia="黑体" w:cs="Arial"/>
          <w:spacing w:val="0"/>
          <w:sz w:val="24"/>
        </w:rPr>
        <w:t>1</w:t>
      </w:r>
      <w:r>
        <w:rPr>
          <w:rFonts w:eastAsia="黑体" w:cs="Arial"/>
          <w:spacing w:val="0"/>
          <w:sz w:val="24"/>
        </w:rPr>
        <w:fldChar w:fldCharType="end"/>
      </w:r>
      <w:r>
        <w:rPr>
          <w:rFonts w:hint="eastAsia" w:eastAsia="黑体" w:cs="Arial"/>
          <w:spacing w:val="0"/>
          <w:sz w:val="24"/>
        </w:rPr>
        <w:t xml:space="preserve"> 勐海</w:t>
      </w:r>
      <w:r>
        <w:rPr>
          <w:rFonts w:eastAsia="黑体" w:cs="Arial"/>
          <w:spacing w:val="0"/>
          <w:sz w:val="24"/>
        </w:rPr>
        <w:t>县“十四五”</w:t>
      </w:r>
      <w:r>
        <w:rPr>
          <w:rFonts w:hint="eastAsia" w:eastAsia="黑体" w:cs="Arial"/>
          <w:spacing w:val="0"/>
          <w:sz w:val="24"/>
        </w:rPr>
        <w:t>农村饮水安全工程</w:t>
      </w:r>
    </w:p>
    <w:tbl>
      <w:tblPr>
        <w:tblStyle w:val="32"/>
        <w:tblW w:w="8936" w:type="dxa"/>
        <w:tblInd w:w="0" w:type="dxa"/>
        <w:tblLayout w:type="fixed"/>
        <w:tblCellMar>
          <w:top w:w="0" w:type="dxa"/>
          <w:left w:w="108" w:type="dxa"/>
          <w:bottom w:w="0" w:type="dxa"/>
          <w:right w:w="108" w:type="dxa"/>
        </w:tblCellMar>
      </w:tblPr>
      <w:tblGrid>
        <w:gridCol w:w="717"/>
        <w:gridCol w:w="1648"/>
        <w:gridCol w:w="3276"/>
        <w:gridCol w:w="1415"/>
        <w:gridCol w:w="1880"/>
      </w:tblGrid>
      <w:tr>
        <w:tblPrEx>
          <w:tblLayout w:type="fixed"/>
          <w:tblCellMar>
            <w:top w:w="0" w:type="dxa"/>
            <w:left w:w="108" w:type="dxa"/>
            <w:bottom w:w="0" w:type="dxa"/>
            <w:right w:w="108" w:type="dxa"/>
          </w:tblCellMar>
        </w:tblPrEx>
        <w:trPr>
          <w:trHeight w:val="312" w:hRule="atLeast"/>
        </w:trPr>
        <w:tc>
          <w:tcPr>
            <w:tcW w:w="71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序号</w:t>
            </w:r>
          </w:p>
        </w:tc>
        <w:tc>
          <w:tcPr>
            <w:tcW w:w="4924"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工程类型</w:t>
            </w:r>
          </w:p>
        </w:tc>
        <w:tc>
          <w:tcPr>
            <w:tcW w:w="14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数量（件）</w:t>
            </w:r>
          </w:p>
        </w:tc>
        <w:tc>
          <w:tcPr>
            <w:tcW w:w="18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总投资（万元）</w:t>
            </w:r>
          </w:p>
        </w:tc>
      </w:tr>
      <w:tr>
        <w:tblPrEx>
          <w:tblLayout w:type="fixed"/>
          <w:tblCellMar>
            <w:top w:w="0" w:type="dxa"/>
            <w:left w:w="108" w:type="dxa"/>
            <w:bottom w:w="0" w:type="dxa"/>
            <w:right w:w="108" w:type="dxa"/>
          </w:tblCellMar>
        </w:tblPrEx>
        <w:trPr>
          <w:trHeight w:val="312" w:hRule="atLeast"/>
        </w:trPr>
        <w:tc>
          <w:tcPr>
            <w:tcW w:w="717"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仿宋_GB2312" w:eastAsia="仿宋_GB2312" w:cs="宋体"/>
                <w:kern w:val="0"/>
                <w:sz w:val="24"/>
                <w:szCs w:val="20"/>
              </w:rPr>
            </w:pPr>
          </w:p>
        </w:tc>
        <w:tc>
          <w:tcPr>
            <w:tcW w:w="4924" w:type="dxa"/>
            <w:gridSpan w:val="2"/>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仿宋_GB2312" w:eastAsia="仿宋_GB2312" w:cs="宋体"/>
                <w:kern w:val="0"/>
                <w:sz w:val="24"/>
                <w:szCs w:val="20"/>
              </w:rPr>
            </w:pPr>
          </w:p>
        </w:tc>
        <w:tc>
          <w:tcPr>
            <w:tcW w:w="1415"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仿宋_GB2312" w:eastAsia="仿宋_GB2312" w:cs="宋体"/>
                <w:kern w:val="0"/>
                <w:sz w:val="24"/>
                <w:szCs w:val="20"/>
              </w:rPr>
            </w:pPr>
          </w:p>
        </w:tc>
        <w:tc>
          <w:tcPr>
            <w:tcW w:w="18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仿宋_GB2312" w:eastAsia="仿宋_GB2312" w:cs="宋体"/>
                <w:kern w:val="0"/>
                <w:sz w:val="24"/>
                <w:szCs w:val="20"/>
              </w:rPr>
            </w:pPr>
          </w:p>
        </w:tc>
      </w:tr>
      <w:tr>
        <w:tblPrEx>
          <w:tblLayout w:type="fixed"/>
          <w:tblCellMar>
            <w:top w:w="0" w:type="dxa"/>
            <w:left w:w="108" w:type="dxa"/>
            <w:bottom w:w="0" w:type="dxa"/>
            <w:right w:w="108" w:type="dxa"/>
          </w:tblCellMar>
        </w:tblPrEx>
        <w:trPr>
          <w:trHeight w:val="312" w:hRule="atLeast"/>
        </w:trPr>
        <w:tc>
          <w:tcPr>
            <w:tcW w:w="717"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仿宋_GB2312" w:eastAsia="仿宋_GB2312" w:cs="宋体"/>
                <w:kern w:val="0"/>
                <w:sz w:val="24"/>
                <w:szCs w:val="20"/>
              </w:rPr>
            </w:pPr>
          </w:p>
        </w:tc>
        <w:tc>
          <w:tcPr>
            <w:tcW w:w="4924" w:type="dxa"/>
            <w:gridSpan w:val="2"/>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仿宋_GB2312" w:eastAsia="仿宋_GB2312" w:cs="宋体"/>
                <w:kern w:val="0"/>
                <w:sz w:val="24"/>
                <w:szCs w:val="20"/>
              </w:rPr>
            </w:pPr>
          </w:p>
        </w:tc>
        <w:tc>
          <w:tcPr>
            <w:tcW w:w="1415"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仿宋_GB2312" w:eastAsia="仿宋_GB2312" w:cs="宋体"/>
                <w:kern w:val="0"/>
                <w:sz w:val="24"/>
                <w:szCs w:val="20"/>
              </w:rPr>
            </w:pPr>
          </w:p>
        </w:tc>
        <w:tc>
          <w:tcPr>
            <w:tcW w:w="18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仿宋_GB2312" w:eastAsia="仿宋_GB2312" w:cs="宋体"/>
                <w:kern w:val="0"/>
                <w:sz w:val="24"/>
                <w:szCs w:val="20"/>
              </w:rPr>
            </w:pPr>
          </w:p>
        </w:tc>
      </w:tr>
      <w:tr>
        <w:tblPrEx>
          <w:tblLayout w:type="fixed"/>
          <w:tblCellMar>
            <w:top w:w="0" w:type="dxa"/>
            <w:left w:w="108" w:type="dxa"/>
            <w:bottom w:w="0" w:type="dxa"/>
            <w:right w:w="108" w:type="dxa"/>
          </w:tblCellMar>
        </w:tblPrEx>
        <w:trPr>
          <w:trHeight w:val="972" w:hRule="atLeast"/>
        </w:trPr>
        <w:tc>
          <w:tcPr>
            <w:tcW w:w="717"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1</w:t>
            </w:r>
          </w:p>
        </w:tc>
        <w:tc>
          <w:tcPr>
            <w:tcW w:w="164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规模化工程</w:t>
            </w:r>
          </w:p>
        </w:tc>
        <w:tc>
          <w:tcPr>
            <w:tcW w:w="3276" w:type="dxa"/>
            <w:tcBorders>
              <w:top w:val="nil"/>
              <w:left w:val="nil"/>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城乡一体化工程（农村部分）</w:t>
            </w:r>
          </w:p>
        </w:tc>
        <w:tc>
          <w:tcPr>
            <w:tcW w:w="14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2</w:t>
            </w:r>
          </w:p>
        </w:tc>
        <w:tc>
          <w:tcPr>
            <w:tcW w:w="188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9484.36</w:t>
            </w:r>
          </w:p>
        </w:tc>
      </w:tr>
      <w:tr>
        <w:tblPrEx>
          <w:tblLayout w:type="fixed"/>
          <w:tblCellMar>
            <w:top w:w="0" w:type="dxa"/>
            <w:left w:w="108" w:type="dxa"/>
            <w:bottom w:w="0" w:type="dxa"/>
            <w:right w:w="108" w:type="dxa"/>
          </w:tblCellMar>
        </w:tblPrEx>
        <w:trPr>
          <w:trHeight w:val="300" w:hRule="atLeast"/>
        </w:trPr>
        <w:tc>
          <w:tcPr>
            <w:tcW w:w="717"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kern w:val="0"/>
                <w:sz w:val="24"/>
                <w:szCs w:val="20"/>
              </w:rPr>
            </w:pPr>
          </w:p>
        </w:tc>
        <w:tc>
          <w:tcPr>
            <w:tcW w:w="1648"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_GB2312" w:eastAsia="仿宋_GB2312" w:cs="宋体"/>
                <w:kern w:val="0"/>
                <w:sz w:val="24"/>
                <w:szCs w:val="20"/>
              </w:rPr>
            </w:pPr>
          </w:p>
        </w:tc>
        <w:tc>
          <w:tcPr>
            <w:tcW w:w="3276" w:type="dxa"/>
            <w:tcBorders>
              <w:top w:val="nil"/>
              <w:left w:val="nil"/>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万人工程</w:t>
            </w:r>
          </w:p>
        </w:tc>
        <w:tc>
          <w:tcPr>
            <w:tcW w:w="14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5</w:t>
            </w:r>
          </w:p>
        </w:tc>
        <w:tc>
          <w:tcPr>
            <w:tcW w:w="188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82152.46</w:t>
            </w:r>
          </w:p>
        </w:tc>
      </w:tr>
      <w:tr>
        <w:tblPrEx>
          <w:tblLayout w:type="fixed"/>
          <w:tblCellMar>
            <w:top w:w="0" w:type="dxa"/>
            <w:left w:w="108" w:type="dxa"/>
            <w:bottom w:w="0" w:type="dxa"/>
            <w:right w:w="108" w:type="dxa"/>
          </w:tblCellMar>
        </w:tblPrEx>
        <w:trPr>
          <w:trHeight w:val="300" w:hRule="atLeast"/>
        </w:trPr>
        <w:tc>
          <w:tcPr>
            <w:tcW w:w="717"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2</w:t>
            </w:r>
          </w:p>
        </w:tc>
        <w:tc>
          <w:tcPr>
            <w:tcW w:w="164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小型供水工程</w:t>
            </w:r>
          </w:p>
        </w:tc>
        <w:tc>
          <w:tcPr>
            <w:tcW w:w="3276" w:type="dxa"/>
            <w:tcBorders>
              <w:top w:val="nil"/>
              <w:left w:val="nil"/>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千人工程</w:t>
            </w:r>
          </w:p>
        </w:tc>
        <w:tc>
          <w:tcPr>
            <w:tcW w:w="14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7</w:t>
            </w:r>
          </w:p>
        </w:tc>
        <w:tc>
          <w:tcPr>
            <w:tcW w:w="188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2120.35</w:t>
            </w:r>
          </w:p>
        </w:tc>
      </w:tr>
      <w:tr>
        <w:tblPrEx>
          <w:tblLayout w:type="fixed"/>
          <w:tblCellMar>
            <w:top w:w="0" w:type="dxa"/>
            <w:left w:w="108" w:type="dxa"/>
            <w:bottom w:w="0" w:type="dxa"/>
            <w:right w:w="108" w:type="dxa"/>
          </w:tblCellMar>
        </w:tblPrEx>
        <w:trPr>
          <w:trHeight w:val="492" w:hRule="atLeast"/>
        </w:trPr>
        <w:tc>
          <w:tcPr>
            <w:tcW w:w="717"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kern w:val="0"/>
                <w:sz w:val="24"/>
                <w:szCs w:val="20"/>
              </w:rPr>
            </w:pPr>
          </w:p>
        </w:tc>
        <w:tc>
          <w:tcPr>
            <w:tcW w:w="1648"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_GB2312" w:eastAsia="仿宋_GB2312" w:cs="宋体"/>
                <w:kern w:val="0"/>
                <w:sz w:val="24"/>
                <w:szCs w:val="20"/>
              </w:rPr>
            </w:pPr>
          </w:p>
        </w:tc>
        <w:tc>
          <w:tcPr>
            <w:tcW w:w="3276" w:type="dxa"/>
            <w:tcBorders>
              <w:top w:val="nil"/>
              <w:left w:val="nil"/>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千人以下集中工程</w:t>
            </w:r>
          </w:p>
        </w:tc>
        <w:tc>
          <w:tcPr>
            <w:tcW w:w="14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335</w:t>
            </w:r>
          </w:p>
        </w:tc>
        <w:tc>
          <w:tcPr>
            <w:tcW w:w="188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4141.88</w:t>
            </w:r>
          </w:p>
        </w:tc>
      </w:tr>
      <w:tr>
        <w:tblPrEx>
          <w:tblLayout w:type="fixed"/>
          <w:tblCellMar>
            <w:top w:w="0" w:type="dxa"/>
            <w:left w:w="108" w:type="dxa"/>
            <w:bottom w:w="0" w:type="dxa"/>
            <w:right w:w="108" w:type="dxa"/>
          </w:tblCellMar>
        </w:tblPrEx>
        <w:trPr>
          <w:trHeight w:val="300" w:hRule="atLeast"/>
        </w:trPr>
        <w:tc>
          <w:tcPr>
            <w:tcW w:w="717"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kern w:val="0"/>
                <w:sz w:val="24"/>
                <w:szCs w:val="20"/>
              </w:rPr>
            </w:pPr>
          </w:p>
        </w:tc>
        <w:tc>
          <w:tcPr>
            <w:tcW w:w="1648"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_GB2312" w:eastAsia="仿宋_GB2312" w:cs="宋体"/>
                <w:kern w:val="0"/>
                <w:sz w:val="24"/>
                <w:szCs w:val="20"/>
              </w:rPr>
            </w:pPr>
          </w:p>
        </w:tc>
        <w:tc>
          <w:tcPr>
            <w:tcW w:w="3276" w:type="dxa"/>
            <w:tcBorders>
              <w:top w:val="nil"/>
              <w:left w:val="nil"/>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供水小站</w:t>
            </w:r>
          </w:p>
        </w:tc>
        <w:tc>
          <w:tcPr>
            <w:tcW w:w="1415" w:type="dxa"/>
            <w:tcBorders>
              <w:top w:val="nil"/>
              <w:left w:val="nil"/>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0</w:t>
            </w:r>
          </w:p>
        </w:tc>
        <w:tc>
          <w:tcPr>
            <w:tcW w:w="1880" w:type="dxa"/>
            <w:tcBorders>
              <w:top w:val="nil"/>
              <w:left w:val="nil"/>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0</w:t>
            </w:r>
          </w:p>
        </w:tc>
      </w:tr>
      <w:tr>
        <w:tblPrEx>
          <w:tblLayout w:type="fixed"/>
          <w:tblCellMar>
            <w:top w:w="0" w:type="dxa"/>
            <w:left w:w="108" w:type="dxa"/>
            <w:bottom w:w="0" w:type="dxa"/>
            <w:right w:w="108" w:type="dxa"/>
          </w:tblCellMar>
        </w:tblPrEx>
        <w:trPr>
          <w:trHeight w:val="468" w:hRule="atLeast"/>
        </w:trPr>
        <w:tc>
          <w:tcPr>
            <w:tcW w:w="717"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3</w:t>
            </w:r>
          </w:p>
        </w:tc>
        <w:tc>
          <w:tcPr>
            <w:tcW w:w="164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分散供水</w:t>
            </w:r>
          </w:p>
        </w:tc>
        <w:tc>
          <w:tcPr>
            <w:tcW w:w="3276" w:type="dxa"/>
            <w:tcBorders>
              <w:top w:val="nil"/>
              <w:left w:val="nil"/>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千人工程</w:t>
            </w:r>
          </w:p>
        </w:tc>
        <w:tc>
          <w:tcPr>
            <w:tcW w:w="14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1</w:t>
            </w:r>
          </w:p>
        </w:tc>
        <w:tc>
          <w:tcPr>
            <w:tcW w:w="188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146.05</w:t>
            </w:r>
          </w:p>
        </w:tc>
      </w:tr>
      <w:tr>
        <w:tblPrEx>
          <w:tblLayout w:type="fixed"/>
          <w:tblCellMar>
            <w:top w:w="0" w:type="dxa"/>
            <w:left w:w="108" w:type="dxa"/>
            <w:bottom w:w="0" w:type="dxa"/>
            <w:right w:w="108" w:type="dxa"/>
          </w:tblCellMar>
        </w:tblPrEx>
        <w:trPr>
          <w:trHeight w:val="492" w:hRule="atLeast"/>
        </w:trPr>
        <w:tc>
          <w:tcPr>
            <w:tcW w:w="717" w:type="dxa"/>
            <w:vMerge w:val="continue"/>
            <w:tcBorders>
              <w:top w:val="nil"/>
              <w:left w:val="single" w:color="000000" w:sz="8" w:space="0"/>
              <w:bottom w:val="single" w:color="000000" w:sz="8" w:space="0"/>
              <w:right w:val="single" w:color="000000" w:sz="8" w:space="0"/>
            </w:tcBorders>
            <w:vAlign w:val="center"/>
          </w:tcPr>
          <w:p>
            <w:pPr>
              <w:widowControl/>
              <w:jc w:val="left"/>
              <w:rPr>
                <w:rFonts w:ascii="Times New Roman" w:hAnsi="Times New Roman"/>
                <w:kern w:val="0"/>
                <w:sz w:val="24"/>
                <w:szCs w:val="20"/>
              </w:rPr>
            </w:pPr>
          </w:p>
        </w:tc>
        <w:tc>
          <w:tcPr>
            <w:tcW w:w="1648" w:type="dxa"/>
            <w:vMerge w:val="continue"/>
            <w:tcBorders>
              <w:top w:val="nil"/>
              <w:left w:val="single" w:color="000000" w:sz="8" w:space="0"/>
              <w:bottom w:val="single" w:color="000000" w:sz="8" w:space="0"/>
              <w:right w:val="single" w:color="000000" w:sz="8" w:space="0"/>
            </w:tcBorders>
            <w:vAlign w:val="center"/>
          </w:tcPr>
          <w:p>
            <w:pPr>
              <w:widowControl/>
              <w:jc w:val="left"/>
              <w:rPr>
                <w:rFonts w:ascii="仿宋_GB2312" w:eastAsia="仿宋_GB2312" w:cs="宋体"/>
                <w:kern w:val="0"/>
                <w:sz w:val="24"/>
                <w:szCs w:val="20"/>
              </w:rPr>
            </w:pPr>
          </w:p>
        </w:tc>
        <w:tc>
          <w:tcPr>
            <w:tcW w:w="3276" w:type="dxa"/>
            <w:tcBorders>
              <w:top w:val="nil"/>
              <w:left w:val="nil"/>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千人以下集中工程</w:t>
            </w:r>
          </w:p>
        </w:tc>
        <w:tc>
          <w:tcPr>
            <w:tcW w:w="14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55</w:t>
            </w:r>
          </w:p>
        </w:tc>
        <w:tc>
          <w:tcPr>
            <w:tcW w:w="188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2057.54</w:t>
            </w:r>
          </w:p>
        </w:tc>
      </w:tr>
      <w:tr>
        <w:tblPrEx>
          <w:tblLayout w:type="fixed"/>
          <w:tblCellMar>
            <w:top w:w="0" w:type="dxa"/>
            <w:left w:w="108" w:type="dxa"/>
            <w:bottom w:w="0" w:type="dxa"/>
            <w:right w:w="108" w:type="dxa"/>
          </w:tblCellMar>
        </w:tblPrEx>
        <w:trPr>
          <w:trHeight w:val="300" w:hRule="atLeast"/>
        </w:trPr>
        <w:tc>
          <w:tcPr>
            <w:tcW w:w="5641"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仿宋_GB2312" w:eastAsia="仿宋_GB2312" w:cs="宋体"/>
                <w:kern w:val="0"/>
                <w:sz w:val="24"/>
                <w:szCs w:val="20"/>
              </w:rPr>
            </w:pPr>
            <w:r>
              <w:rPr>
                <w:rFonts w:hint="eastAsia" w:ascii="仿宋_GB2312" w:eastAsia="仿宋_GB2312" w:cs="宋体"/>
                <w:kern w:val="0"/>
                <w:sz w:val="24"/>
                <w:szCs w:val="20"/>
              </w:rPr>
              <w:t>合计</w:t>
            </w:r>
          </w:p>
        </w:tc>
        <w:tc>
          <w:tcPr>
            <w:tcW w:w="141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405</w:t>
            </w:r>
          </w:p>
        </w:tc>
        <w:tc>
          <w:tcPr>
            <w:tcW w:w="1880"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kern w:val="0"/>
                <w:sz w:val="24"/>
                <w:szCs w:val="20"/>
              </w:rPr>
            </w:pPr>
            <w:r>
              <w:rPr>
                <w:rFonts w:ascii="Times New Roman" w:hAnsi="Times New Roman"/>
                <w:kern w:val="0"/>
                <w:sz w:val="24"/>
                <w:szCs w:val="20"/>
              </w:rPr>
              <w:t>100102.6</w:t>
            </w:r>
          </w:p>
        </w:tc>
      </w:tr>
    </w:tbl>
    <w:p>
      <w:pPr>
        <w:pStyle w:val="4"/>
        <w:rPr>
          <w:rFonts w:ascii="Times New Roman" w:hAnsi="Times New Roman"/>
        </w:rPr>
      </w:pPr>
      <w:bookmarkStart w:id="60" w:name="_Toc62461326"/>
      <w:r>
        <w:rPr>
          <w:rFonts w:hint="eastAsia" w:ascii="Times New Roman" w:hAnsi="Times New Roman"/>
        </w:rPr>
        <w:t>水库清淤增效工程</w:t>
      </w:r>
      <w:bookmarkEnd w:id="60"/>
    </w:p>
    <w:p>
      <w:pPr>
        <w:pStyle w:val="3"/>
        <w:ind w:firstLine="576"/>
      </w:pPr>
      <w:r>
        <w:rPr>
          <w:rFonts w:hint="eastAsia"/>
        </w:rPr>
        <w:t>勐海县库塘众多，因建设年代较早，库塘淤积严重，影响库塘灌溉供水效益发挥。“十四五”规划实施勐邦水库、曼丹水库、帕迫水库等25</w:t>
      </w:r>
      <w:r>
        <w:t xml:space="preserve"> </w:t>
      </w:r>
      <w:r>
        <w:rPr>
          <w:rFonts w:hint="eastAsia"/>
        </w:rPr>
        <w:t>件小型水库清淤增效工程，清淤总量505.5万</w:t>
      </w:r>
      <w:r>
        <w:t>m</w:t>
      </w:r>
      <w:r>
        <w:rPr>
          <w:rFonts w:hint="cs"/>
        </w:rPr>
        <w:t>³</w:t>
      </w:r>
      <w:r>
        <w:t xml:space="preserve"> </w:t>
      </w:r>
      <w:r>
        <w:rPr>
          <w:rFonts w:hint="eastAsia"/>
        </w:rPr>
        <w:t>，恢复供水量75.9万</w:t>
      </w:r>
      <w:r>
        <w:t>m</w:t>
      </w:r>
      <w:r>
        <w:rPr>
          <w:rFonts w:hint="eastAsia" w:ascii="宋体" w:hAnsi="宋体" w:eastAsia="宋体" w:cs="宋体"/>
        </w:rPr>
        <w:t>³</w:t>
      </w:r>
      <w:r>
        <w:rPr>
          <w:rFonts w:hint="eastAsia" w:ascii="仿宋_GB2312" w:hAnsi="仿宋_GB2312" w:cs="仿宋_GB2312"/>
        </w:rPr>
        <w:t>、恢复灌溉面</w:t>
      </w:r>
      <w:r>
        <w:t>7.32</w:t>
      </w:r>
      <w:r>
        <w:rPr>
          <w:rFonts w:hint="eastAsia"/>
        </w:rPr>
        <w:t>万亩，总投资2.20亿元。</w:t>
      </w:r>
    </w:p>
    <w:p>
      <w:pPr>
        <w:pStyle w:val="2"/>
      </w:pPr>
      <w:bookmarkStart w:id="61" w:name="_Toc62461327"/>
      <w:r>
        <w:t>防治结合，保障水生态安全</w:t>
      </w:r>
      <w:bookmarkEnd w:id="57"/>
      <w:bookmarkEnd w:id="61"/>
    </w:p>
    <w:p>
      <w:pPr>
        <w:pStyle w:val="4"/>
        <w:rPr>
          <w:rFonts w:ascii="Times New Roman" w:hAnsi="Times New Roman"/>
        </w:rPr>
      </w:pPr>
      <w:bookmarkStart w:id="62" w:name="_Toc62461328"/>
      <w:bookmarkStart w:id="63" w:name="_Toc49452709"/>
      <w:r>
        <w:rPr>
          <w:rFonts w:ascii="Times New Roman" w:hAnsi="Times New Roman"/>
        </w:rPr>
        <w:t>大力推进水土流失综合治理</w:t>
      </w:r>
      <w:bookmarkEnd w:id="62"/>
      <w:bookmarkEnd w:id="63"/>
    </w:p>
    <w:p>
      <w:pPr>
        <w:pStyle w:val="3"/>
        <w:ind w:firstLine="576"/>
      </w:pPr>
      <w:r>
        <w:rPr>
          <w:rFonts w:hint="eastAsia"/>
        </w:rPr>
        <w:t>以预防为主，防治结合等措施，强化勐海县重点区域、河流水土流失防治。将水土保持生态建设与乡村振兴结合，因地制宜推进生态清洁小流域建设，为建设美丽勐海，促进农村经济发展奠定基础。勐海县地处边疆少数民族地区，部分农村普遍存在落后的思想观念和生产生活方式，且生态环境保护意识薄弱，造成水土流失等问题。实施水土保持工程有利于乡村振兴政策落实，通过改造水土流失严重的山区坡耕地，推进生态清洁型小流域建设，可有效改善农村生存发展环境条件，巩固脱贫攻坚成果。“十四五”规划建设生态清洁小流域项目6项，预防治理水土流失总面积208.3</w:t>
      </w:r>
      <w:r>
        <w:rPr>
          <w:kern w:val="0"/>
          <w:sz w:val="24"/>
          <w:szCs w:val="24"/>
        </w:rPr>
        <w:t>km</w:t>
      </w:r>
      <w:r>
        <w:rPr>
          <w:kern w:val="0"/>
          <w:sz w:val="24"/>
          <w:szCs w:val="24"/>
          <w:vertAlign w:val="superscript"/>
        </w:rPr>
        <w:t>2</w:t>
      </w:r>
      <w:r>
        <w:rPr>
          <w:rFonts w:hint="eastAsia"/>
          <w:kern w:val="0"/>
          <w:sz w:val="24"/>
          <w:szCs w:val="24"/>
        </w:rPr>
        <w:t>，</w:t>
      </w:r>
      <w:r>
        <w:t>总投资</w:t>
      </w:r>
      <w:r>
        <w:rPr>
          <w:rFonts w:hint="eastAsia"/>
        </w:rPr>
        <w:t>15100万元。规划项目如下表。</w:t>
      </w:r>
    </w:p>
    <w:p>
      <w:pPr>
        <w:pStyle w:val="3"/>
        <w:ind w:firstLine="0" w:firstLineChars="0"/>
        <w:jc w:val="center"/>
        <w:rPr>
          <w:rFonts w:eastAsia="黑体" w:cs="Arial"/>
          <w:spacing w:val="0"/>
          <w:sz w:val="24"/>
        </w:rPr>
      </w:pPr>
      <w:r>
        <w:rPr>
          <w:rFonts w:hint="eastAsia" w:eastAsia="黑体" w:cs="Arial"/>
          <w:spacing w:val="0"/>
          <w:sz w:val="24"/>
        </w:rPr>
        <w:t xml:space="preserve">表 </w:t>
      </w:r>
      <w:r>
        <w:rPr>
          <w:rFonts w:eastAsia="黑体" w:cs="Arial"/>
          <w:spacing w:val="0"/>
          <w:sz w:val="24"/>
        </w:rPr>
        <w:fldChar w:fldCharType="begin"/>
      </w:r>
      <w:r>
        <w:rPr>
          <w:rFonts w:eastAsia="黑体" w:cs="Arial"/>
          <w:spacing w:val="0"/>
          <w:sz w:val="24"/>
        </w:rPr>
        <w:instrText xml:space="preserve"> </w:instrText>
      </w:r>
      <w:r>
        <w:rPr>
          <w:rFonts w:hint="eastAsia" w:eastAsia="黑体" w:cs="Arial"/>
          <w:spacing w:val="0"/>
          <w:sz w:val="24"/>
        </w:rPr>
        <w:instrText xml:space="preserve">STYLEREF 2 \s</w:instrText>
      </w:r>
      <w:r>
        <w:rPr>
          <w:rFonts w:eastAsia="黑体" w:cs="Arial"/>
          <w:spacing w:val="0"/>
          <w:sz w:val="24"/>
        </w:rPr>
        <w:instrText xml:space="preserve"> </w:instrText>
      </w:r>
      <w:r>
        <w:rPr>
          <w:rFonts w:eastAsia="黑体" w:cs="Arial"/>
          <w:spacing w:val="0"/>
          <w:sz w:val="24"/>
        </w:rPr>
        <w:fldChar w:fldCharType="separate"/>
      </w:r>
      <w:r>
        <w:rPr>
          <w:rFonts w:eastAsia="黑体" w:cs="Arial"/>
          <w:spacing w:val="0"/>
          <w:sz w:val="24"/>
        </w:rPr>
        <w:t>6.1</w:t>
      </w:r>
      <w:r>
        <w:rPr>
          <w:rFonts w:eastAsia="黑体" w:cs="Arial"/>
          <w:spacing w:val="0"/>
          <w:sz w:val="24"/>
        </w:rPr>
        <w:fldChar w:fldCharType="end"/>
      </w:r>
      <w:r>
        <w:rPr>
          <w:rFonts w:eastAsia="黑体" w:cs="Arial"/>
          <w:spacing w:val="0"/>
          <w:sz w:val="24"/>
        </w:rPr>
        <w:t>.</w:t>
      </w:r>
      <w:r>
        <w:rPr>
          <w:rFonts w:eastAsia="黑体" w:cs="Arial"/>
          <w:spacing w:val="0"/>
          <w:sz w:val="24"/>
        </w:rPr>
        <w:fldChar w:fldCharType="begin"/>
      </w:r>
      <w:r>
        <w:rPr>
          <w:rFonts w:eastAsia="黑体" w:cs="Arial"/>
          <w:spacing w:val="0"/>
          <w:sz w:val="24"/>
        </w:rPr>
        <w:instrText xml:space="preserve"> </w:instrText>
      </w:r>
      <w:r>
        <w:rPr>
          <w:rFonts w:hint="eastAsia" w:eastAsia="黑体" w:cs="Arial"/>
          <w:spacing w:val="0"/>
          <w:sz w:val="24"/>
        </w:rPr>
        <w:instrText xml:space="preserve">SEQ 表 \* ARABIC \s 2</w:instrText>
      </w:r>
      <w:r>
        <w:rPr>
          <w:rFonts w:eastAsia="黑体" w:cs="Arial"/>
          <w:spacing w:val="0"/>
          <w:sz w:val="24"/>
        </w:rPr>
        <w:instrText xml:space="preserve"> </w:instrText>
      </w:r>
      <w:r>
        <w:rPr>
          <w:rFonts w:eastAsia="黑体" w:cs="Arial"/>
          <w:spacing w:val="0"/>
          <w:sz w:val="24"/>
        </w:rPr>
        <w:fldChar w:fldCharType="separate"/>
      </w:r>
      <w:r>
        <w:rPr>
          <w:rFonts w:eastAsia="黑体" w:cs="Arial"/>
          <w:spacing w:val="0"/>
          <w:sz w:val="24"/>
        </w:rPr>
        <w:t>1</w:t>
      </w:r>
      <w:r>
        <w:rPr>
          <w:rFonts w:eastAsia="黑体" w:cs="Arial"/>
          <w:spacing w:val="0"/>
          <w:sz w:val="24"/>
        </w:rPr>
        <w:fldChar w:fldCharType="end"/>
      </w:r>
      <w:r>
        <w:rPr>
          <w:rFonts w:hint="eastAsia" w:eastAsia="黑体" w:cs="Arial"/>
          <w:spacing w:val="0"/>
          <w:sz w:val="24"/>
        </w:rPr>
        <w:t xml:space="preserve"> 勐海县“十四五”规划水土流失综合治理项目表</w:t>
      </w:r>
    </w:p>
    <w:tbl>
      <w:tblPr>
        <w:tblStyle w:val="32"/>
        <w:tblW w:w="8936" w:type="dxa"/>
        <w:tblInd w:w="0" w:type="dxa"/>
        <w:tblLayout w:type="fixed"/>
        <w:tblCellMar>
          <w:top w:w="0" w:type="dxa"/>
          <w:left w:w="108" w:type="dxa"/>
          <w:bottom w:w="0" w:type="dxa"/>
          <w:right w:w="108" w:type="dxa"/>
        </w:tblCellMar>
      </w:tblPr>
      <w:tblGrid>
        <w:gridCol w:w="678"/>
        <w:gridCol w:w="2692"/>
        <w:gridCol w:w="1417"/>
        <w:gridCol w:w="1417"/>
        <w:gridCol w:w="1703"/>
        <w:gridCol w:w="1029"/>
      </w:tblGrid>
      <w:tr>
        <w:tblPrEx>
          <w:tblLayout w:type="fixed"/>
          <w:tblCellMar>
            <w:top w:w="0" w:type="dxa"/>
            <w:left w:w="108" w:type="dxa"/>
            <w:bottom w:w="0" w:type="dxa"/>
            <w:right w:w="108" w:type="dxa"/>
          </w:tblCellMar>
        </w:tblPrEx>
        <w:trPr>
          <w:trHeight w:val="1032" w:hRule="atLeast"/>
        </w:trPr>
        <w:tc>
          <w:tcPr>
            <w:tcW w:w="678" w:type="dxa"/>
            <w:tcBorders>
              <w:top w:val="single" w:color="auto" w:sz="8" w:space="0"/>
              <w:left w:val="single" w:color="auto" w:sz="8" w:space="0"/>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序号</w:t>
            </w:r>
          </w:p>
        </w:tc>
        <w:tc>
          <w:tcPr>
            <w:tcW w:w="2692"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项目名称</w:t>
            </w:r>
          </w:p>
        </w:tc>
        <w:tc>
          <w:tcPr>
            <w:tcW w:w="1417"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18"/>
                <w:szCs w:val="18"/>
              </w:rPr>
            </w:pPr>
            <w:r>
              <w:rPr>
                <w:rFonts w:hint="eastAsia" w:ascii="仿宋_GB2312" w:eastAsia="仿宋_GB2312" w:cs="宋体"/>
                <w:color w:val="auto"/>
                <w:kern w:val="0"/>
                <w:sz w:val="18"/>
                <w:szCs w:val="18"/>
              </w:rPr>
              <w:t>所在河流</w:t>
            </w:r>
          </w:p>
        </w:tc>
        <w:tc>
          <w:tcPr>
            <w:tcW w:w="1417"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18"/>
                <w:szCs w:val="18"/>
              </w:rPr>
            </w:pPr>
            <w:r>
              <w:rPr>
                <w:rFonts w:hint="eastAsia" w:ascii="仿宋_GB2312" w:eastAsia="仿宋_GB2312" w:cs="宋体"/>
                <w:color w:val="auto"/>
                <w:kern w:val="0"/>
                <w:sz w:val="18"/>
                <w:szCs w:val="18"/>
              </w:rPr>
              <w:t>水土流失面积（</w:t>
            </w:r>
            <w:r>
              <w:rPr>
                <w:rFonts w:ascii="Times New Roman" w:hAnsi="Times New Roman" w:eastAsia="仿宋_GB2312"/>
                <w:color w:val="auto"/>
                <w:kern w:val="0"/>
                <w:sz w:val="18"/>
                <w:szCs w:val="18"/>
              </w:rPr>
              <w:t>km</w:t>
            </w:r>
            <w:r>
              <w:rPr>
                <w:rFonts w:ascii="Times New Roman" w:hAnsi="Times New Roman" w:eastAsia="仿宋_GB2312"/>
                <w:color w:val="auto"/>
                <w:kern w:val="0"/>
                <w:sz w:val="18"/>
                <w:szCs w:val="18"/>
                <w:vertAlign w:val="superscript"/>
              </w:rPr>
              <w:t>2</w:t>
            </w:r>
            <w:r>
              <w:rPr>
                <w:rFonts w:hint="eastAsia" w:ascii="仿宋_GB2312" w:eastAsia="仿宋_GB2312" w:cs="宋体"/>
                <w:color w:val="auto"/>
                <w:kern w:val="0"/>
                <w:sz w:val="18"/>
                <w:szCs w:val="18"/>
              </w:rPr>
              <w:t>）</w:t>
            </w:r>
          </w:p>
        </w:tc>
        <w:tc>
          <w:tcPr>
            <w:tcW w:w="1703"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仿宋_GB2312" w:eastAsia="仿宋_GB2312" w:cs="宋体"/>
                <w:color w:val="auto"/>
                <w:kern w:val="0"/>
                <w:sz w:val="20"/>
                <w:szCs w:val="20"/>
              </w:rPr>
            </w:pPr>
            <w:r>
              <w:rPr>
                <w:rFonts w:hint="eastAsia" w:ascii="仿宋_GB2312" w:eastAsia="仿宋_GB2312" w:cs="宋体"/>
                <w:color w:val="auto"/>
                <w:kern w:val="0"/>
                <w:sz w:val="20"/>
                <w:szCs w:val="20"/>
              </w:rPr>
              <w:t>预防治理水土流失面积（</w:t>
            </w:r>
            <w:r>
              <w:rPr>
                <w:rFonts w:ascii="Times New Roman" w:hAnsi="Times New Roman" w:eastAsia="仿宋_GB2312"/>
                <w:color w:val="auto"/>
                <w:kern w:val="0"/>
                <w:sz w:val="20"/>
                <w:szCs w:val="20"/>
              </w:rPr>
              <w:t>km</w:t>
            </w:r>
            <w:r>
              <w:rPr>
                <w:rFonts w:ascii="Times New Roman" w:hAnsi="Times New Roman" w:eastAsia="仿宋_GB2312"/>
                <w:color w:val="auto"/>
                <w:kern w:val="0"/>
                <w:sz w:val="20"/>
                <w:szCs w:val="20"/>
                <w:vertAlign w:val="superscript"/>
              </w:rPr>
              <w:t>2</w:t>
            </w:r>
            <w:r>
              <w:rPr>
                <w:rFonts w:hint="eastAsia" w:ascii="仿宋_GB2312" w:eastAsia="仿宋_GB2312" w:cs="宋体"/>
                <w:color w:val="auto"/>
                <w:kern w:val="0"/>
                <w:sz w:val="20"/>
                <w:szCs w:val="20"/>
              </w:rPr>
              <w:t>）</w:t>
            </w:r>
          </w:p>
        </w:tc>
        <w:tc>
          <w:tcPr>
            <w:tcW w:w="1029" w:type="dxa"/>
            <w:tcBorders>
              <w:top w:val="single" w:color="auto" w:sz="8" w:space="0"/>
              <w:left w:val="nil"/>
              <w:bottom w:val="single" w:color="auto" w:sz="4" w:space="0"/>
              <w:right w:val="single" w:color="auto" w:sz="8" w:space="0"/>
            </w:tcBorders>
            <w:shd w:val="clear" w:color="auto" w:fill="auto"/>
            <w:vAlign w:val="center"/>
          </w:tcPr>
          <w:p>
            <w:pPr>
              <w:widowControl/>
              <w:jc w:val="center"/>
              <w:rPr>
                <w:rFonts w:ascii="仿宋_GB2312" w:eastAsia="仿宋_GB2312" w:cs="宋体"/>
                <w:color w:val="auto"/>
                <w:kern w:val="0"/>
                <w:sz w:val="18"/>
                <w:szCs w:val="18"/>
              </w:rPr>
            </w:pPr>
            <w:r>
              <w:rPr>
                <w:rFonts w:hint="eastAsia" w:ascii="仿宋_GB2312" w:eastAsia="仿宋_GB2312" w:cs="宋体"/>
                <w:color w:val="auto"/>
                <w:kern w:val="0"/>
                <w:sz w:val="18"/>
                <w:szCs w:val="18"/>
              </w:rPr>
              <w:t>总投资</w:t>
            </w:r>
          </w:p>
          <w:p>
            <w:pPr>
              <w:widowControl/>
              <w:jc w:val="center"/>
              <w:rPr>
                <w:rFonts w:ascii="仿宋_GB2312" w:eastAsia="仿宋_GB2312" w:cs="宋体"/>
                <w:color w:val="auto"/>
                <w:kern w:val="0"/>
                <w:sz w:val="18"/>
                <w:szCs w:val="18"/>
              </w:rPr>
            </w:pPr>
            <w:r>
              <w:rPr>
                <w:rFonts w:hint="eastAsia" w:ascii="仿宋_GB2312" w:eastAsia="仿宋_GB2312" w:cs="宋体"/>
                <w:color w:val="auto"/>
                <w:kern w:val="0"/>
                <w:sz w:val="18"/>
                <w:szCs w:val="18"/>
              </w:rPr>
              <w:t>（万元）</w:t>
            </w:r>
          </w:p>
        </w:tc>
      </w:tr>
      <w:tr>
        <w:tblPrEx>
          <w:tblLayout w:type="fixed"/>
          <w:tblCellMar>
            <w:top w:w="0" w:type="dxa"/>
            <w:left w:w="108" w:type="dxa"/>
            <w:bottom w:w="0" w:type="dxa"/>
            <w:right w:w="108" w:type="dxa"/>
          </w:tblCellMar>
        </w:tblPrEx>
        <w:trPr>
          <w:trHeight w:val="480" w:hRule="atLeast"/>
        </w:trPr>
        <w:tc>
          <w:tcPr>
            <w:tcW w:w="678"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1</w:t>
            </w:r>
          </w:p>
        </w:tc>
        <w:tc>
          <w:tcPr>
            <w:tcW w:w="2692"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曼点生态清洁小流域</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曼点河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40</w:t>
            </w:r>
          </w:p>
        </w:tc>
        <w:tc>
          <w:tcPr>
            <w:tcW w:w="17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56.9</w:t>
            </w:r>
          </w:p>
        </w:tc>
        <w:tc>
          <w:tcPr>
            <w:tcW w:w="1029"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3500</w:t>
            </w:r>
          </w:p>
        </w:tc>
      </w:tr>
      <w:tr>
        <w:tblPrEx>
          <w:tblLayout w:type="fixed"/>
          <w:tblCellMar>
            <w:top w:w="0" w:type="dxa"/>
            <w:left w:w="108" w:type="dxa"/>
            <w:bottom w:w="0" w:type="dxa"/>
            <w:right w:w="108" w:type="dxa"/>
          </w:tblCellMar>
        </w:tblPrEx>
        <w:trPr>
          <w:trHeight w:val="480" w:hRule="atLeast"/>
        </w:trPr>
        <w:tc>
          <w:tcPr>
            <w:tcW w:w="678"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2</w:t>
            </w:r>
          </w:p>
        </w:tc>
        <w:tc>
          <w:tcPr>
            <w:tcW w:w="2692"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密蚌河生态清洁小流域</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密蚌河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18</w:t>
            </w:r>
          </w:p>
        </w:tc>
        <w:tc>
          <w:tcPr>
            <w:tcW w:w="17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25</w:t>
            </w:r>
          </w:p>
        </w:tc>
        <w:tc>
          <w:tcPr>
            <w:tcW w:w="1029"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1500</w:t>
            </w:r>
          </w:p>
        </w:tc>
      </w:tr>
      <w:tr>
        <w:tblPrEx>
          <w:tblLayout w:type="fixed"/>
          <w:tblCellMar>
            <w:top w:w="0" w:type="dxa"/>
            <w:left w:w="108" w:type="dxa"/>
            <w:bottom w:w="0" w:type="dxa"/>
            <w:right w:w="108" w:type="dxa"/>
          </w:tblCellMar>
        </w:tblPrEx>
        <w:trPr>
          <w:trHeight w:val="720" w:hRule="atLeast"/>
        </w:trPr>
        <w:tc>
          <w:tcPr>
            <w:tcW w:w="678"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3</w:t>
            </w:r>
          </w:p>
        </w:tc>
        <w:tc>
          <w:tcPr>
            <w:tcW w:w="2692"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马过老坝河生态清洁小流域</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马过老坝河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43</w:t>
            </w:r>
          </w:p>
        </w:tc>
        <w:tc>
          <w:tcPr>
            <w:tcW w:w="17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61.8</w:t>
            </w:r>
          </w:p>
        </w:tc>
        <w:tc>
          <w:tcPr>
            <w:tcW w:w="1029"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4000</w:t>
            </w:r>
          </w:p>
        </w:tc>
      </w:tr>
      <w:tr>
        <w:tblPrEx>
          <w:tblLayout w:type="fixed"/>
          <w:tblCellMar>
            <w:top w:w="0" w:type="dxa"/>
            <w:left w:w="108" w:type="dxa"/>
            <w:bottom w:w="0" w:type="dxa"/>
            <w:right w:w="108" w:type="dxa"/>
          </w:tblCellMar>
        </w:tblPrEx>
        <w:trPr>
          <w:trHeight w:val="480" w:hRule="atLeast"/>
        </w:trPr>
        <w:tc>
          <w:tcPr>
            <w:tcW w:w="678"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4</w:t>
            </w:r>
          </w:p>
        </w:tc>
        <w:tc>
          <w:tcPr>
            <w:tcW w:w="2692"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曼丹生态清洁小流域</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曼丹河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4</w:t>
            </w:r>
          </w:p>
        </w:tc>
        <w:tc>
          <w:tcPr>
            <w:tcW w:w="17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5.5</w:t>
            </w:r>
          </w:p>
        </w:tc>
        <w:tc>
          <w:tcPr>
            <w:tcW w:w="1029"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600</w:t>
            </w:r>
          </w:p>
        </w:tc>
      </w:tr>
      <w:tr>
        <w:tblPrEx>
          <w:tblLayout w:type="fixed"/>
          <w:tblCellMar>
            <w:top w:w="0" w:type="dxa"/>
            <w:left w:w="108" w:type="dxa"/>
            <w:bottom w:w="0" w:type="dxa"/>
            <w:right w:w="108" w:type="dxa"/>
          </w:tblCellMar>
        </w:tblPrEx>
        <w:trPr>
          <w:trHeight w:val="480" w:hRule="atLeast"/>
        </w:trPr>
        <w:tc>
          <w:tcPr>
            <w:tcW w:w="678"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5</w:t>
            </w:r>
          </w:p>
        </w:tc>
        <w:tc>
          <w:tcPr>
            <w:tcW w:w="2692"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曼满生态清洁小流域</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南哈河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33</w:t>
            </w:r>
          </w:p>
        </w:tc>
        <w:tc>
          <w:tcPr>
            <w:tcW w:w="17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47.1</w:t>
            </w:r>
          </w:p>
        </w:tc>
        <w:tc>
          <w:tcPr>
            <w:tcW w:w="1029"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3000</w:t>
            </w:r>
          </w:p>
        </w:tc>
      </w:tr>
      <w:tr>
        <w:tblPrEx>
          <w:tblLayout w:type="fixed"/>
          <w:tblCellMar>
            <w:top w:w="0" w:type="dxa"/>
            <w:left w:w="108" w:type="dxa"/>
            <w:bottom w:w="0" w:type="dxa"/>
            <w:right w:w="108" w:type="dxa"/>
          </w:tblCellMar>
        </w:tblPrEx>
        <w:trPr>
          <w:trHeight w:val="480" w:hRule="atLeast"/>
        </w:trPr>
        <w:tc>
          <w:tcPr>
            <w:tcW w:w="678" w:type="dxa"/>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hint="eastAsia" w:ascii="Times New Roman" w:hAnsi="Times New Roman"/>
                <w:kern w:val="0"/>
                <w:sz w:val="20"/>
                <w:szCs w:val="20"/>
              </w:rPr>
              <w:t>6</w:t>
            </w:r>
            <w:r>
              <w:rPr>
                <w:rFonts w:ascii="Times New Roman" w:hAnsi="Times New Roman"/>
                <w:kern w:val="0"/>
                <w:sz w:val="20"/>
                <w:szCs w:val="20"/>
              </w:rPr>
              <w:t>　</w:t>
            </w:r>
          </w:p>
        </w:tc>
        <w:tc>
          <w:tcPr>
            <w:tcW w:w="2692" w:type="dxa"/>
            <w:tcBorders>
              <w:top w:val="nil"/>
              <w:left w:val="nil"/>
              <w:bottom w:val="single" w:color="auto" w:sz="4" w:space="0"/>
              <w:right w:val="single" w:color="auto" w:sz="4" w:space="0"/>
            </w:tcBorders>
            <w:shd w:val="clear" w:color="auto" w:fill="auto"/>
            <w:vAlign w:val="center"/>
          </w:tcPr>
          <w:p>
            <w:pPr>
              <w:widowControl/>
              <w:jc w:val="center"/>
              <w:rPr>
                <w:rFonts w:ascii="仿宋_GB2312" w:eastAsia="仿宋_GB2312" w:cs="宋体"/>
                <w:kern w:val="0"/>
                <w:sz w:val="20"/>
                <w:szCs w:val="20"/>
              </w:rPr>
            </w:pPr>
            <w:r>
              <w:rPr>
                <w:rFonts w:hint="eastAsia" w:cs="宋体"/>
                <w:kern w:val="0"/>
                <w:sz w:val="20"/>
                <w:szCs w:val="20"/>
              </w:rPr>
              <w:t>曼西良生态清洁小流域</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hint="eastAsia"/>
                <w:kern w:val="0"/>
                <w:sz w:val="20"/>
                <w:szCs w:val="20"/>
              </w:rPr>
              <w:t>南奔河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9</w:t>
            </w:r>
          </w:p>
        </w:tc>
        <w:tc>
          <w:tcPr>
            <w:tcW w:w="170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12</w:t>
            </w:r>
          </w:p>
        </w:tc>
        <w:tc>
          <w:tcPr>
            <w:tcW w:w="1029"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kern w:val="0"/>
                <w:sz w:val="20"/>
                <w:szCs w:val="20"/>
              </w:rPr>
            </w:pPr>
            <w:r>
              <w:rPr>
                <w:rFonts w:ascii="Times New Roman" w:hAnsi="Times New Roman"/>
                <w:kern w:val="0"/>
                <w:sz w:val="20"/>
                <w:szCs w:val="20"/>
              </w:rPr>
              <w:t>2500</w:t>
            </w:r>
          </w:p>
        </w:tc>
      </w:tr>
      <w:tr>
        <w:tblPrEx>
          <w:tblLayout w:type="fixed"/>
          <w:tblCellMar>
            <w:top w:w="0" w:type="dxa"/>
            <w:left w:w="108" w:type="dxa"/>
            <w:bottom w:w="0" w:type="dxa"/>
            <w:right w:w="108" w:type="dxa"/>
          </w:tblCellMar>
        </w:tblPrEx>
        <w:trPr>
          <w:trHeight w:val="300" w:hRule="atLeast"/>
        </w:trPr>
        <w:tc>
          <w:tcPr>
            <w:tcW w:w="4787" w:type="dxa"/>
            <w:gridSpan w:val="3"/>
            <w:tcBorders>
              <w:top w:val="single" w:color="auto" w:sz="4" w:space="0"/>
              <w:left w:val="single" w:color="auto" w:sz="8" w:space="0"/>
              <w:bottom w:val="single" w:color="auto" w:sz="8" w:space="0"/>
              <w:right w:val="single" w:color="auto" w:sz="4" w:space="0"/>
            </w:tcBorders>
            <w:shd w:val="clear" w:color="auto" w:fill="auto"/>
            <w:noWrap/>
            <w:vAlign w:val="center"/>
          </w:tcPr>
          <w:p>
            <w:pPr>
              <w:widowControl/>
              <w:jc w:val="center"/>
              <w:rPr>
                <w:rFonts w:ascii="仿宋_GB2312" w:eastAsia="仿宋_GB2312" w:cs="宋体"/>
                <w:kern w:val="0"/>
                <w:sz w:val="20"/>
                <w:szCs w:val="20"/>
              </w:rPr>
            </w:pPr>
            <w:r>
              <w:rPr>
                <w:rFonts w:hint="eastAsia" w:ascii="仿宋_GB2312" w:eastAsia="仿宋_GB2312" w:cs="宋体"/>
                <w:kern w:val="0"/>
                <w:sz w:val="20"/>
                <w:szCs w:val="20"/>
              </w:rPr>
              <w:t>合计</w:t>
            </w:r>
          </w:p>
        </w:tc>
        <w:tc>
          <w:tcPr>
            <w:tcW w:w="1417" w:type="dxa"/>
            <w:tcBorders>
              <w:top w:val="nil"/>
              <w:left w:val="nil"/>
              <w:bottom w:val="single" w:color="auto" w:sz="8"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147</w:t>
            </w:r>
          </w:p>
        </w:tc>
        <w:tc>
          <w:tcPr>
            <w:tcW w:w="1703" w:type="dxa"/>
            <w:tcBorders>
              <w:top w:val="nil"/>
              <w:left w:val="nil"/>
              <w:bottom w:val="single" w:color="auto" w:sz="8" w:space="0"/>
              <w:right w:val="single" w:color="auto" w:sz="4"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208.3</w:t>
            </w:r>
          </w:p>
        </w:tc>
        <w:tc>
          <w:tcPr>
            <w:tcW w:w="1029"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kern w:val="0"/>
                <w:sz w:val="20"/>
                <w:szCs w:val="20"/>
              </w:rPr>
            </w:pPr>
            <w:r>
              <w:rPr>
                <w:rFonts w:ascii="Times New Roman" w:hAnsi="Times New Roman"/>
                <w:kern w:val="0"/>
                <w:sz w:val="20"/>
                <w:szCs w:val="20"/>
              </w:rPr>
              <w:t>15100</w:t>
            </w:r>
          </w:p>
        </w:tc>
      </w:tr>
    </w:tbl>
    <w:p>
      <w:pPr>
        <w:pStyle w:val="3"/>
        <w:ind w:firstLine="0" w:firstLineChars="0"/>
        <w:jc w:val="center"/>
        <w:rPr>
          <w:rFonts w:eastAsia="黑体" w:cs="Arial"/>
          <w:spacing w:val="0"/>
          <w:sz w:val="24"/>
        </w:rPr>
      </w:pPr>
    </w:p>
    <w:bookmarkEnd w:id="58"/>
    <w:p>
      <w:pPr>
        <w:pStyle w:val="4"/>
        <w:rPr>
          <w:rFonts w:ascii="Times New Roman" w:hAnsi="Times New Roman"/>
        </w:rPr>
      </w:pPr>
      <w:bookmarkStart w:id="64" w:name="_Toc62461329"/>
      <w:bookmarkStart w:id="65" w:name="_Toc49452710"/>
      <w:r>
        <w:rPr>
          <w:rFonts w:hint="eastAsia" w:ascii="Times New Roman" w:hAnsi="Times New Roman"/>
        </w:rPr>
        <w:t>重点河湖生态治理与修复</w:t>
      </w:r>
      <w:bookmarkEnd w:id="64"/>
    </w:p>
    <w:p>
      <w:pPr>
        <w:pStyle w:val="3"/>
        <w:ind w:firstLine="576"/>
      </w:pPr>
      <w:r>
        <w:rPr>
          <w:rFonts w:hint="eastAsia"/>
        </w:rPr>
        <w:t>以流域为单元，坚持综合施策、协同推进。针对河湖存在的水生态环境问题，加大河湖生态保护、修复和综合治理，构建河湖生态廊道，保障河湖水生态系统结构功能的稳定性。勐海县流沙河水系水环境现状条件与城市形象差距较大，部分河段防洪不达标，河道沿岸污水直排、垃圾堆放的问题较为突出。通过实施勐海县城区水环境综合治理工程，对勐海县城辖区内的8条河流（流沙河城区段、南海河、曼贺河、曼丹河、南短河、曼袄河、帕宫河、回贡河），2座水库（曼丹水库及新建曼先水库）进行生态系统修复和流域综合治理，实施河道清淤扩宽工程、城区截污工程、引水补水工程、生态治理工程、景观亮化打造工程，将极大提高防洪标准，增加城区水面率，大幅提升勐海县城区人居环境，带动旅游和健康产业发展，对于打造“中国普洱茶第一县”名片具有重要意义。</w:t>
      </w:r>
    </w:p>
    <w:p>
      <w:pPr>
        <w:pStyle w:val="5"/>
      </w:pPr>
      <w:r>
        <w:rPr>
          <w:rFonts w:hint="eastAsia"/>
        </w:rPr>
        <w:t>勐海县</w:t>
      </w:r>
      <w:bookmarkEnd w:id="65"/>
      <w:r>
        <w:rPr>
          <w:rFonts w:hint="eastAsia"/>
        </w:rPr>
        <w:t>流沙河流域生态治理与修复项目</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勐海县流沙河流域生态治理与修复项目</w:t>
      </w:r>
      <w:r>
        <w:rPr>
          <w:rFonts w:hint="eastAsia" w:ascii="Times New Roman" w:hAnsi="Times New Roman" w:eastAsia="仿宋_GB2312"/>
          <w:color w:val="auto"/>
          <w:spacing w:val="4"/>
          <w:sz w:val="28"/>
          <w:szCs w:val="28"/>
        </w:rPr>
        <w:t>治理河道长度约</w:t>
      </w:r>
      <w:r>
        <w:rPr>
          <w:rFonts w:ascii="Times New Roman" w:hAnsi="Times New Roman" w:eastAsia="仿宋_GB2312"/>
          <w:color w:val="auto"/>
          <w:spacing w:val="4"/>
          <w:sz w:val="28"/>
          <w:szCs w:val="28"/>
        </w:rPr>
        <w:t>29.6</w:t>
      </w:r>
      <w:r>
        <w:rPr>
          <w:rFonts w:hint="eastAsia" w:ascii="Times New Roman" w:hAnsi="Times New Roman" w:eastAsia="仿宋_GB2312"/>
          <w:color w:val="auto"/>
          <w:spacing w:val="4"/>
          <w:sz w:val="28"/>
          <w:szCs w:val="28"/>
        </w:rPr>
        <w:t>km，主要建设内容包括河道清障、河道防洪保安、城区河道截污、滨岸带岸线修复、人文景观提升等，项目总投资约14.07亿元，</w:t>
      </w:r>
      <w:r>
        <w:rPr>
          <w:rFonts w:ascii="Times New Roman" w:hAnsi="Times New Roman" w:eastAsia="仿宋_GB2312"/>
          <w:color w:val="auto"/>
          <w:spacing w:val="4"/>
          <w:sz w:val="28"/>
          <w:szCs w:val="28"/>
        </w:rPr>
        <w:t>十四五期间规划完成投资</w:t>
      </w:r>
      <w:r>
        <w:rPr>
          <w:rFonts w:hint="eastAsia" w:ascii="Times New Roman" w:hAnsi="Times New Roman" w:eastAsia="仿宋_GB2312"/>
          <w:color w:val="auto"/>
          <w:spacing w:val="4"/>
          <w:sz w:val="28"/>
          <w:szCs w:val="28"/>
        </w:rPr>
        <w:t>1.18亿元。</w:t>
      </w:r>
    </w:p>
    <w:p>
      <w:pPr>
        <w:pStyle w:val="5"/>
      </w:pPr>
      <w:r>
        <w:rPr>
          <w:rFonts w:hint="eastAsia"/>
        </w:rPr>
        <w:t>美丽河湖</w:t>
      </w:r>
    </w:p>
    <w:p>
      <w:pPr>
        <w:pStyle w:val="3"/>
        <w:ind w:firstLine="576"/>
      </w:pPr>
      <w:r>
        <w:t>勐海县规划对那达勐水库</w:t>
      </w:r>
      <w:r>
        <w:rPr>
          <w:rFonts w:hint="eastAsia"/>
        </w:rPr>
        <w:t>、</w:t>
      </w:r>
      <w:r>
        <w:t>曼桂水库</w:t>
      </w:r>
      <w:r>
        <w:rPr>
          <w:rFonts w:hint="eastAsia"/>
        </w:rPr>
        <w:t>、勐邦</w:t>
      </w:r>
      <w:r>
        <w:t>水库</w:t>
      </w:r>
      <w:r>
        <w:rPr>
          <w:rFonts w:hint="eastAsia"/>
        </w:rPr>
        <w:t>、曼满水库、曼丹水库等5座水库开展美丽河湖建设，建设内容主要为滨岸带岸线修复、人文景观提升、污染物治理、水面保洁及水库管理等。项目总投资2.5亿元，计划十四五期间完成投资9000万元。</w:t>
      </w:r>
    </w:p>
    <w:p>
      <w:pPr>
        <w:numPr>
          <w:ilvl w:val="1"/>
          <w:numId w:val="1"/>
        </w:numPr>
        <w:spacing w:before="300" w:line="360" w:lineRule="auto"/>
        <w:jc w:val="left"/>
        <w:outlineLvl w:val="1"/>
        <w:rPr>
          <w:rFonts w:ascii="Times New Roman" w:hAnsi="Times New Roman" w:eastAsia="黑体"/>
          <w:color w:val="auto"/>
          <w:sz w:val="30"/>
          <w:szCs w:val="32"/>
        </w:rPr>
      </w:pPr>
      <w:bookmarkStart w:id="66" w:name="_Toc49452711"/>
      <w:bookmarkStart w:id="67" w:name="_Toc62461330"/>
      <w:r>
        <w:rPr>
          <w:rFonts w:ascii="Times New Roman" w:hAnsi="Times New Roman" w:eastAsia="黑体"/>
          <w:color w:val="auto"/>
          <w:sz w:val="30"/>
          <w:szCs w:val="32"/>
        </w:rPr>
        <w:t>推进农村水系综合整治</w:t>
      </w:r>
      <w:bookmarkEnd w:id="66"/>
      <w:bookmarkEnd w:id="67"/>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按照实施乡村振兴战略的要求，针对农村水系存在的淤塞萎缩、水污染严重、水生态恶化等突出问题，立足乡村河流特点和保护发展需要，通过对农村水系进行清淤疏浚、岸坡整治、水系连通、水源涵养与水土保持等措施，集中连片推进，水域岸线并治，结合村庄建设和产业发展，开展农奴才能水系综合整治，建设“水美乡村”，不断增强农村群众的获得感、幸福感、安全感，促进乡村全面振兴。</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针对勐海县曼真村、曼尾村、曼贺村、曼短村、曼袄村、景龙村等村庄存在的垃圾收集处理不完善、农村河道整治投入不足、河道管理范围未划定、岸线生态功能弱、自然风貌差等问题，通过实施勐海县水系连通及农村水系综合整治工程，采取河道清障、水系连通、河道防洪、滨岸带修复、人文景观提升等治理措施，对6个村的4条水系（回贡河、曼丹河、南短河、帕宫河、</w:t>
      </w:r>
      <w:commentRangeStart w:id="36"/>
      <w:r>
        <w:rPr>
          <w:rFonts w:hint="eastAsia" w:ascii="Times New Roman" w:hAnsi="Times New Roman" w:eastAsia="仿宋_GB2312"/>
          <w:color w:val="auto"/>
          <w:spacing w:val="4"/>
          <w:sz w:val="28"/>
          <w:szCs w:val="28"/>
        </w:rPr>
        <w:t>南海河</w:t>
      </w:r>
      <w:commentRangeEnd w:id="36"/>
      <w:r>
        <w:rPr>
          <w:rStyle w:val="39"/>
        </w:rPr>
        <w:commentReference w:id="36"/>
      </w:r>
      <w:r>
        <w:rPr>
          <w:rFonts w:hint="eastAsia" w:ascii="Times New Roman" w:hAnsi="Times New Roman" w:eastAsia="仿宋_GB2312"/>
          <w:color w:val="auto"/>
          <w:spacing w:val="4"/>
          <w:sz w:val="28"/>
          <w:szCs w:val="28"/>
        </w:rPr>
        <w:t>、南亨河、曼开河、曼丙河）进行综合整治，规划治理河长31.8km，水系连通长度8.4km，清障面积0.4km</w:t>
      </w:r>
      <w:r>
        <w:rPr>
          <w:rFonts w:hint="eastAsia" w:ascii="Times New Roman" w:hAnsi="Times New Roman" w:eastAsia="仿宋_GB2312"/>
          <w:color w:val="auto"/>
          <w:spacing w:val="4"/>
          <w:sz w:val="28"/>
          <w:szCs w:val="28"/>
          <w:vertAlign w:val="superscript"/>
        </w:rPr>
        <w:t>2</w:t>
      </w:r>
      <w:r>
        <w:rPr>
          <w:rFonts w:hint="eastAsia" w:ascii="Times New Roman" w:hAnsi="Times New Roman" w:eastAsia="仿宋_GB2312"/>
          <w:color w:val="auto"/>
          <w:spacing w:val="4"/>
          <w:sz w:val="28"/>
          <w:szCs w:val="28"/>
        </w:rPr>
        <w:t>，清理垃圾量3206.5万m</w:t>
      </w:r>
      <w:r>
        <w:rPr>
          <w:rFonts w:hint="eastAsia" w:ascii="Times New Roman" w:hAnsi="Times New Roman" w:eastAsia="仿宋_GB2312"/>
          <w:color w:val="auto"/>
          <w:spacing w:val="4"/>
          <w:sz w:val="28"/>
          <w:szCs w:val="28"/>
          <w:vertAlign w:val="superscript"/>
        </w:rPr>
        <w:t>3</w:t>
      </w:r>
      <w:r>
        <w:rPr>
          <w:rFonts w:hint="eastAsia" w:ascii="Times New Roman" w:hAnsi="Times New Roman" w:eastAsia="仿宋_GB2312"/>
          <w:color w:val="auto"/>
          <w:spacing w:val="4"/>
          <w:sz w:val="28"/>
          <w:szCs w:val="28"/>
        </w:rPr>
        <w:t>，新建堤防长度29.6km，改造或加固堤防长度6.2km，滨岸带治理面积0.4 km</w:t>
      </w:r>
      <w:r>
        <w:rPr>
          <w:rFonts w:hint="eastAsia" w:ascii="Times New Roman" w:hAnsi="Times New Roman" w:eastAsia="仿宋_GB2312"/>
          <w:color w:val="auto"/>
          <w:spacing w:val="4"/>
          <w:sz w:val="28"/>
          <w:szCs w:val="28"/>
          <w:vertAlign w:val="superscript"/>
        </w:rPr>
        <w:t>2</w:t>
      </w:r>
      <w:r>
        <w:rPr>
          <w:rFonts w:hint="eastAsia" w:ascii="Times New Roman" w:hAnsi="Times New Roman" w:eastAsia="仿宋_GB2312"/>
          <w:color w:val="auto"/>
          <w:spacing w:val="4"/>
          <w:sz w:val="28"/>
          <w:szCs w:val="28"/>
        </w:rPr>
        <w:t>，总投资5.16亿元，计划十四五期间完成投资1.6亿元。</w:t>
      </w:r>
    </w:p>
    <w:p>
      <w:pPr>
        <w:pStyle w:val="2"/>
      </w:pPr>
      <w:bookmarkStart w:id="68" w:name="_Toc62461331"/>
      <w:bookmarkStart w:id="69" w:name="_Toc49452712"/>
      <w:bookmarkStart w:id="70" w:name="_Toc43754895"/>
      <w:r>
        <w:t>稳步推进，提升水利智慧化水平</w:t>
      </w:r>
      <w:bookmarkEnd w:id="68"/>
      <w:bookmarkEnd w:id="69"/>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按照“强感知、增智慧”的思路，充分运用物联网、大数据、人工智能、5G、区块链等新一代信息技术，加快智慧水利建设，增强水利信息感知、分析、处理和智慧应用的能力和水平。全面加强江河湖泊、水利工程、水利管理活动和水文、水资源、水环境、水生态、工程安全、洪涝干旱灾害等涉水信息的监测感知，完善全面互联高速可靠的水利信息网，加快水利大数据中心和综合监管平台建设，推进涵盖水利核心业务的智能应用，完善网络安全体系。</w:t>
      </w:r>
    </w:p>
    <w:p>
      <w:pPr>
        <w:numPr>
          <w:ilvl w:val="1"/>
          <w:numId w:val="1"/>
        </w:numPr>
        <w:spacing w:before="300" w:line="360" w:lineRule="auto"/>
        <w:jc w:val="left"/>
        <w:outlineLvl w:val="1"/>
        <w:rPr>
          <w:rFonts w:ascii="Times New Roman" w:hAnsi="Times New Roman" w:eastAsia="黑体"/>
          <w:color w:val="auto"/>
          <w:sz w:val="30"/>
          <w:szCs w:val="32"/>
        </w:rPr>
      </w:pPr>
      <w:bookmarkStart w:id="71" w:name="_Toc49452713"/>
      <w:bookmarkStart w:id="72" w:name="_Toc62461332"/>
      <w:r>
        <w:rPr>
          <w:rFonts w:ascii="Times New Roman" w:hAnsi="Times New Roman" w:eastAsia="黑体"/>
          <w:color w:val="auto"/>
          <w:sz w:val="30"/>
          <w:szCs w:val="32"/>
        </w:rPr>
        <w:t>加快工程管理监测系统建设</w:t>
      </w:r>
      <w:bookmarkEnd w:id="71"/>
      <w:bookmarkEnd w:id="72"/>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加快推进工程管理监测系统建设。系统以GIS为平台、以综合数据库为基础，以空间化为主要特征，将水库、水闸、泵站、小水电等水利工程运行信息、基础信息等和电子地图上的空间对象关联起来，直观、形象的反映水利工程情况。同时系统根据水利工程运行维护考核标准设计功能，通过加强工程维修养护的管理，提高水利工程运行的管理的效率与水平。加强勐海县中型水库、小（一）型水库和大中型水闸的防汛通信预警系统、水库人工监测系统、数据处理中心、通信系统、预警中心等建设，增强水库洪水预警和调度，增补或修复损坏的必备监测设备。实施水库防汛通信预警系统和大坝安全监测体系建设，建设内容包括：水位站、视频、图像观测设施等，实现水情信息自动采集传输到县级预警平台</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“十四五”期间，规划针对全县范围内的91座中小型水库安装智能管控系统平台建设，安装设备112套，实现供水、分水、计量等实现远程操作、监控，并将数据汇总至县级平台。</w:t>
      </w:r>
    </w:p>
    <w:p>
      <w:pPr>
        <w:numPr>
          <w:ilvl w:val="1"/>
          <w:numId w:val="1"/>
        </w:numPr>
        <w:spacing w:before="300" w:line="360" w:lineRule="auto"/>
        <w:jc w:val="left"/>
        <w:outlineLvl w:val="1"/>
        <w:rPr>
          <w:rFonts w:ascii="Times New Roman" w:hAnsi="Times New Roman" w:eastAsia="黑体"/>
          <w:color w:val="auto"/>
          <w:sz w:val="30"/>
          <w:szCs w:val="32"/>
        </w:rPr>
      </w:pPr>
      <w:bookmarkStart w:id="73" w:name="_Toc62461333"/>
      <w:bookmarkStart w:id="74" w:name="_Toc49452714"/>
      <w:r>
        <w:rPr>
          <w:rFonts w:hint="eastAsia" w:ascii="Times New Roman" w:hAnsi="Times New Roman" w:eastAsia="黑体"/>
          <w:color w:val="auto"/>
          <w:sz w:val="30"/>
          <w:szCs w:val="32"/>
        </w:rPr>
        <w:t>河长制智能管控系统</w:t>
      </w:r>
      <w:bookmarkEnd w:id="73"/>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根据勐海县河长制信息化、智能化的发展需要，加快建设河库渠管理信息系统、河库渠管理地理信息系统平台、河长即时通信平台和水利视频监控系统。按照“物理分离、逻辑统一”的思路，采用统一的接口规范、安全标准、数据目录等，建设勐海县智能河长“大数据”平台，整合水务、环保、住建、工信、气象等各相关行业管理部门和各类涉水企业大量河道、湿地、水库、浅滩、管网、水厂等数据和信息，打破政府各部门、单位之间的信息壁垒，使数据融</w:t>
      </w:r>
      <w:r>
        <w:rPr>
          <w:rFonts w:hint="eastAsia" w:ascii="Times New Roman" w:hAnsi="Times New Roman" w:eastAsia="仿宋_GB2312"/>
          <w:color w:val="auto"/>
          <w:spacing w:val="4"/>
          <w:sz w:val="28"/>
          <w:szCs w:val="28"/>
          <w:lang w:val="en-US" w:eastAsia="zh-CN"/>
        </w:rPr>
        <w:t>会</w:t>
      </w:r>
      <w:r>
        <w:rPr>
          <w:rFonts w:ascii="Times New Roman" w:hAnsi="Times New Roman" w:eastAsia="仿宋_GB2312"/>
          <w:color w:val="auto"/>
          <w:spacing w:val="4"/>
          <w:sz w:val="28"/>
          <w:szCs w:val="28"/>
        </w:rPr>
        <w:t>贯通、共享运用，并以此为基础，使应用智慧提升。</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十四五期间规划对全县</w:t>
      </w:r>
      <w:r>
        <w:rPr>
          <w:rFonts w:ascii="Times New Roman" w:hAnsi="Times New Roman" w:eastAsia="仿宋_GB2312"/>
          <w:color w:val="auto"/>
          <w:spacing w:val="4"/>
          <w:sz w:val="28"/>
          <w:szCs w:val="28"/>
        </w:rPr>
        <w:t>141条河流安装智能管控系统平台建设，实现计量、远程操作、监控、灾害预警等，并将数据汇总至县级平台。</w:t>
      </w:r>
    </w:p>
    <w:p>
      <w:pPr>
        <w:numPr>
          <w:ilvl w:val="1"/>
          <w:numId w:val="1"/>
        </w:numPr>
        <w:spacing w:before="300" w:line="360" w:lineRule="auto"/>
        <w:jc w:val="left"/>
        <w:outlineLvl w:val="1"/>
        <w:rPr>
          <w:rFonts w:ascii="Times New Roman" w:hAnsi="Times New Roman" w:eastAsia="黑体"/>
          <w:color w:val="auto"/>
          <w:sz w:val="30"/>
          <w:szCs w:val="32"/>
        </w:rPr>
      </w:pPr>
      <w:bookmarkStart w:id="75" w:name="_Toc62461334"/>
      <w:r>
        <w:rPr>
          <w:rFonts w:ascii="Times New Roman" w:hAnsi="Times New Roman" w:eastAsia="黑体"/>
          <w:color w:val="auto"/>
          <w:sz w:val="30"/>
          <w:szCs w:val="32"/>
        </w:rPr>
        <w:t>完善防汛抗旱应急指挥系统</w:t>
      </w:r>
      <w:bookmarkEnd w:id="74"/>
      <w:bookmarkEnd w:id="75"/>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结合防汛监测预警系统建设，以各乡镇为单位规划建设勐海县旱情监测预警系统，主要建设内容包括：旱情信息采集系统、旱情监测站网、旱情综合数据库和旱情监测预警系统平台建设。完善勐海县防汛指挥系统及应急通信建设，各乡镇为主要对象完善防汛指挥和应急通信系统，建设内容主要包括：防汛通信系统建设、水雨情监测系统建设和中小河流水文水资源预测预报系统建设等。对于周边有村（镇）和农田等保护对象的山洪沟，升级改造山洪灾害预警系统。</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“十四五”规划对全县</w:t>
      </w:r>
      <w:r>
        <w:rPr>
          <w:rFonts w:ascii="Times New Roman" w:hAnsi="Times New Roman" w:eastAsia="仿宋_GB2312"/>
          <w:color w:val="auto"/>
          <w:spacing w:val="4"/>
          <w:sz w:val="28"/>
          <w:szCs w:val="28"/>
        </w:rPr>
        <w:t>10个集镇供水工程和农村集中供水工程配套安装智能管控系统平台建设。并</w:t>
      </w:r>
      <w:r>
        <w:rPr>
          <w:rFonts w:hint="eastAsia" w:ascii="Times New Roman" w:hAnsi="Times New Roman" w:eastAsia="仿宋_GB2312"/>
          <w:color w:val="auto"/>
          <w:spacing w:val="4"/>
          <w:sz w:val="28"/>
          <w:szCs w:val="28"/>
        </w:rPr>
        <w:t>针对曼点、密蚌、马过、曼丹、曼满等重点水土流失预防区加强水土保持信息化建设，建立</w:t>
      </w:r>
      <w:r>
        <w:rPr>
          <w:rFonts w:ascii="Times New Roman" w:hAnsi="Times New Roman" w:eastAsia="仿宋_GB2312"/>
          <w:color w:val="auto"/>
          <w:spacing w:val="4"/>
          <w:sz w:val="28"/>
          <w:szCs w:val="28"/>
        </w:rPr>
        <w:t>监测预警系统平台</w:t>
      </w:r>
      <w:r>
        <w:rPr>
          <w:rFonts w:hint="eastAsia" w:ascii="Times New Roman" w:hAnsi="Times New Roman" w:eastAsia="仿宋_GB2312"/>
          <w:color w:val="auto"/>
          <w:spacing w:val="4"/>
          <w:sz w:val="28"/>
          <w:szCs w:val="28"/>
        </w:rPr>
        <w:t>，对水土流失发生、发展、危害及水土保持效益进行长期的调查、观测和分析，逐步建设水土保持现代化体系。</w:t>
      </w:r>
    </w:p>
    <w:p>
      <w:pPr>
        <w:numPr>
          <w:ilvl w:val="1"/>
          <w:numId w:val="1"/>
        </w:numPr>
        <w:spacing w:before="300" w:line="360" w:lineRule="auto"/>
        <w:jc w:val="left"/>
        <w:outlineLvl w:val="1"/>
        <w:rPr>
          <w:rFonts w:ascii="Times New Roman" w:hAnsi="Times New Roman" w:eastAsia="黑体"/>
          <w:color w:val="auto"/>
          <w:sz w:val="30"/>
          <w:szCs w:val="32"/>
        </w:rPr>
      </w:pPr>
      <w:bookmarkStart w:id="76" w:name="_Toc62461335"/>
      <w:r>
        <w:rPr>
          <w:rFonts w:hint="eastAsia" w:ascii="Times New Roman" w:hAnsi="Times New Roman" w:eastAsia="黑体"/>
          <w:color w:val="auto"/>
          <w:sz w:val="30"/>
          <w:szCs w:val="32"/>
        </w:rPr>
        <w:t>水务系统能力建设</w:t>
      </w:r>
      <w:bookmarkEnd w:id="76"/>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整合山洪灾害监测预警、防汛指挥等业务系统的相关功能，为防汛工作提供全面、准确、便捷的信息服务。防汛抗旱综合系统涉及到汛情通报、防汛抗旱监测、防汛重要信息等资料进行集中展示、上报，同时，将防汛抗旱管理由传统的人工管理转变为更加准确、迅速、</w:t>
      </w:r>
      <w:r>
        <w:rPr>
          <w:rFonts w:ascii="Times New Roman" w:hAnsi="Times New Roman" w:eastAsia="仿宋_GB2312"/>
          <w:color w:val="auto"/>
          <w:spacing w:val="4"/>
          <w:sz w:val="28"/>
          <w:szCs w:val="28"/>
        </w:rPr>
        <w:t xml:space="preserve"> 及时的计算机机管理。系统在功能上应满足防汛抗旱管理工作的需要，业务流程设 计应适应防汛抗旱日常工作的要求。</w:t>
      </w:r>
    </w:p>
    <w:p>
      <w:pPr>
        <w:numPr>
          <w:ilvl w:val="1"/>
          <w:numId w:val="1"/>
        </w:numPr>
        <w:spacing w:before="300" w:line="360" w:lineRule="auto"/>
        <w:jc w:val="left"/>
        <w:outlineLvl w:val="1"/>
        <w:rPr>
          <w:rFonts w:ascii="Times New Roman" w:hAnsi="Times New Roman" w:eastAsia="黑体"/>
          <w:color w:val="auto"/>
          <w:sz w:val="30"/>
          <w:szCs w:val="32"/>
        </w:rPr>
      </w:pPr>
      <w:bookmarkStart w:id="77" w:name="_Toc62461336"/>
      <w:bookmarkStart w:id="78" w:name="_Toc49452717"/>
      <w:bookmarkStart w:id="79" w:name="_Toc49452716"/>
      <w:r>
        <w:rPr>
          <w:rFonts w:ascii="Times New Roman" w:hAnsi="Times New Roman" w:eastAsia="黑体"/>
          <w:color w:val="auto"/>
          <w:sz w:val="30"/>
          <w:szCs w:val="32"/>
        </w:rPr>
        <w:t>加快智慧灌区建设</w:t>
      </w:r>
      <w:bookmarkEnd w:id="77"/>
      <w:bookmarkEnd w:id="78"/>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着力实现勐海大型灌区管理精细化、供水调度一体化、工程运行智能化、应急响应实时化、公共服务便捷化，协同解决灌区涉及的“水资源、水环境、水生态、水灾害”四大水问题，更好发挥大型灌区对经济社会持续发展的支撑和保障作用。全面感知和自动控制体系、水情监测感知系统、水质监测感知系统、工情监测感知系统、空间感知体系、统一视频系统、自动化控制体系、支撑保障体系、智慧灌区系统集成。</w:t>
      </w:r>
    </w:p>
    <w:p>
      <w:pPr>
        <w:spacing w:line="560" w:lineRule="exact"/>
        <w:ind w:firstLine="576" w:firstLineChars="200"/>
        <w:rPr>
          <w:rFonts w:ascii="Times New Roman" w:hAnsi="Times New Roman" w:eastAsia="仿宋_GB2312"/>
          <w:color w:val="auto"/>
          <w:spacing w:val="4"/>
          <w:sz w:val="28"/>
          <w:szCs w:val="28"/>
        </w:rPr>
        <w:sectPr>
          <w:pgSz w:w="11906" w:h="16838"/>
          <w:pgMar w:top="1440" w:right="1366" w:bottom="1440" w:left="1366" w:header="851" w:footer="850" w:gutter="454"/>
          <w:cols w:space="720" w:num="1"/>
          <w:docGrid w:type="linesAndChars" w:linePitch="312" w:charSpace="0"/>
        </w:sectPr>
      </w:pPr>
      <w:r>
        <w:rPr>
          <w:rFonts w:ascii="Times New Roman" w:hAnsi="Times New Roman" w:eastAsia="仿宋_GB2312"/>
          <w:color w:val="auto"/>
          <w:spacing w:val="4"/>
          <w:sz w:val="28"/>
          <w:szCs w:val="28"/>
        </w:rPr>
        <w:t>“十四五”期间规划</w:t>
      </w:r>
      <w:bookmarkStart w:id="80" w:name="OLE_LINK12"/>
      <w:r>
        <w:rPr>
          <w:rFonts w:ascii="Times New Roman" w:hAnsi="Times New Roman" w:eastAsia="仿宋_GB2312"/>
          <w:color w:val="auto"/>
          <w:spacing w:val="4"/>
          <w:sz w:val="28"/>
          <w:szCs w:val="28"/>
        </w:rPr>
        <w:t>推进</w:t>
      </w:r>
      <w:r>
        <w:rPr>
          <w:rFonts w:hint="eastAsia" w:ascii="Times New Roman" w:hAnsi="Times New Roman" w:eastAsia="仿宋_GB2312"/>
          <w:color w:val="auto"/>
          <w:spacing w:val="4"/>
          <w:sz w:val="28"/>
          <w:szCs w:val="28"/>
        </w:rPr>
        <w:t>勐海县大型灌区信息化建设项目</w:t>
      </w:r>
      <w:bookmarkEnd w:id="80"/>
      <w:r>
        <w:rPr>
          <w:rFonts w:hint="eastAsia" w:ascii="Times New Roman" w:hAnsi="Times New Roman" w:eastAsia="仿宋_GB2312"/>
          <w:color w:val="auto"/>
          <w:spacing w:val="4"/>
          <w:sz w:val="28"/>
          <w:szCs w:val="28"/>
        </w:rPr>
        <w:t>，通过建设灌区信息化机房及会商设备，中型水库及小一型水库大坝安全与水情系统，视频监视系统，闸门控制系统，软件系统等。对已完成的灌区信息系统进行升级优化，通过各种用水信息的采集分析，建立科学的用水调度管理模式，为科学灌溉、合理用水、节约用水提供依据，提高灌溉保证率，增加农作物产量，提高农业生产力，改善区域生产生活条件，提高灌溉供水、节水效益。同时，通过先进的量水设施精确计量实用水量，增加灌区水费收益，减少交接水双方的矛盾，确保灌区的社会稳定，为灌区水利现代化和经济社会可持续发展提供可靠保障。</w:t>
      </w:r>
    </w:p>
    <w:bookmarkEnd w:id="70"/>
    <w:bookmarkEnd w:id="79"/>
    <w:p>
      <w:pPr>
        <w:pStyle w:val="2"/>
      </w:pPr>
      <w:bookmarkStart w:id="81" w:name="_Toc43754902"/>
      <w:bookmarkStart w:id="82" w:name="_Toc62461337"/>
      <w:r>
        <w:t>改革创新，推进水治理能力现代化</w:t>
      </w:r>
      <w:bookmarkEnd w:id="81"/>
      <w:bookmarkEnd w:id="82"/>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十四五”期间，通过加强水政执法能力建设，充实基层执法力量，健全水利依法决策机制，全面加强水利依法行政能力；加强河湖水域管理与保护，全面落实河长制湖长制，建立健全全社会监督机制，统筹河湖水资源管理、水域岸线管理、排污管理、水环境管理、采砂管理等监管任务，强化监督检查问责，健全河湖管理保护长效机制；健全财政投入保障机制明确各级政府水安全保障支出责任，做好资金监控监管，提高财政资金使用效益；深化水资源税和水价改革，深入推进水利工程水价改革，着力推进农业水价综合改革，建立健全水权初始分配制度；加强水利人才队伍建设，优化基层水管单位人员专业、年龄结构，提高技能水平，加强水利人才培养、引进和培训教育，持续提升水利行业能力。</w:t>
      </w:r>
    </w:p>
    <w:p>
      <w:pPr>
        <w:numPr>
          <w:ilvl w:val="1"/>
          <w:numId w:val="1"/>
        </w:numPr>
        <w:spacing w:before="300" w:line="360" w:lineRule="auto"/>
        <w:jc w:val="left"/>
        <w:outlineLvl w:val="1"/>
        <w:rPr>
          <w:rFonts w:ascii="Times New Roman" w:hAnsi="Times New Roman" w:eastAsia="黑体"/>
          <w:color w:val="auto"/>
          <w:sz w:val="30"/>
          <w:szCs w:val="32"/>
        </w:rPr>
      </w:pPr>
      <w:bookmarkStart w:id="83" w:name="_Toc43754903"/>
      <w:bookmarkStart w:id="84" w:name="_Toc62461338"/>
      <w:r>
        <w:rPr>
          <w:rFonts w:ascii="Times New Roman" w:hAnsi="Times New Roman" w:eastAsia="黑体"/>
          <w:color w:val="auto"/>
          <w:sz w:val="30"/>
          <w:szCs w:val="32"/>
        </w:rPr>
        <w:t>全面推进依法治水</w:t>
      </w:r>
      <w:bookmarkEnd w:id="83"/>
      <w:bookmarkEnd w:id="84"/>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加强水行政综合执法。全面推进水利综合执法，完善权责统一、权威高效的水行政执法体制机制；强化对水利重大违法案件和群众反映强烈案件的查办力度，加强水资源无序开发、侵占河库岸线、人为水土流失、河道非法采砂等重点领域水事违法行为惩处。完善水事纠纷预防调处工作机制，逐步形成政府负责、部门配合、社会协同的工作格局。加强水政执法能力建设，充实基层执法力量。继续开展水事矛盾纠纷排查化解活动。健全水利行政复议案件审理机制，对水利违法或不当行政行为坚决予以纠正，努力化解水行政争议，提高政府公信力。</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全面加强水利依法行政。依法履行各项水利管理职能，推进水利行政机构、职能、权限、责任法定化，推进政府水管理清单制度，明晰水管理事权。健全水利依法决策机制，严格执行公众参与、专家论证、风险评估、合法性审查和集体讨论决定的水利重大决策法定程序，建立水利重大决策终身责任追究制度和责任倒查机制。全面推进水利政务公开，强化对水行政权力的制约和监督。加强水利普法宣传，增强全社会水法治观念。</w:t>
      </w:r>
    </w:p>
    <w:p>
      <w:pPr>
        <w:numPr>
          <w:ilvl w:val="1"/>
          <w:numId w:val="1"/>
        </w:numPr>
        <w:spacing w:before="300" w:line="360" w:lineRule="auto"/>
        <w:jc w:val="left"/>
        <w:outlineLvl w:val="1"/>
        <w:rPr>
          <w:rFonts w:ascii="Times New Roman" w:hAnsi="Times New Roman" w:eastAsia="黑体"/>
          <w:color w:val="auto"/>
          <w:sz w:val="30"/>
          <w:szCs w:val="32"/>
        </w:rPr>
      </w:pPr>
      <w:bookmarkStart w:id="85" w:name="_Toc62461339"/>
      <w:bookmarkStart w:id="86" w:name="_Toc43754904"/>
      <w:r>
        <w:rPr>
          <w:rFonts w:ascii="Times New Roman" w:hAnsi="Times New Roman" w:eastAsia="黑体"/>
          <w:color w:val="auto"/>
          <w:sz w:val="30"/>
          <w:szCs w:val="32"/>
        </w:rPr>
        <w:t>落实政府水安全保障责任</w:t>
      </w:r>
      <w:bookmarkEnd w:id="85"/>
      <w:bookmarkEnd w:id="86"/>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加快政府职能转变，强化政府责任，简政放权，强化水资源统一管理，制定监管措施，明确监管职责、鼓励社会监督。深化水行政审批制度改革，继续推进水工程建设规划同意书、建设项目水资源论证、洪水影响评价、水土保持方案、涉河建设项目、水利基建前期工作等审查审批项目分类合并实施，有效提高水行政审批效率。创新水利公共服务提供机制，完善各级水利政务服务体系。</w:t>
      </w:r>
    </w:p>
    <w:p>
      <w:pPr>
        <w:numPr>
          <w:ilvl w:val="1"/>
          <w:numId w:val="1"/>
        </w:numPr>
        <w:spacing w:before="300" w:line="360" w:lineRule="auto"/>
        <w:jc w:val="left"/>
        <w:outlineLvl w:val="1"/>
        <w:rPr>
          <w:rFonts w:ascii="Times New Roman" w:hAnsi="Times New Roman" w:eastAsia="黑体"/>
          <w:color w:val="auto"/>
          <w:sz w:val="30"/>
          <w:szCs w:val="32"/>
        </w:rPr>
      </w:pPr>
      <w:bookmarkStart w:id="87" w:name="_Toc62461340"/>
      <w:bookmarkStart w:id="88" w:name="_Toc43754905"/>
      <w:r>
        <w:rPr>
          <w:rFonts w:ascii="Times New Roman" w:hAnsi="Times New Roman" w:eastAsia="黑体"/>
          <w:color w:val="auto"/>
          <w:sz w:val="30"/>
          <w:szCs w:val="32"/>
        </w:rPr>
        <w:t>充分发挥市场机制作用</w:t>
      </w:r>
      <w:bookmarkEnd w:id="87"/>
      <w:bookmarkEnd w:id="88"/>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创新水利基础设施投融资体制，鼓励和引导社会资本参与水利建设。鼓励和引导政府与社会资本合作（PPP）建设、运营水利工程。积极出台鼓励政策与扶持措施，社会资本参与规划内的水利工程建设应当与政府投资项目同等对待，在投资补贴、贷款贴息、征地移民、水价电价、税费减免等方面享受同等优惠政策。承担公益性水利工程管理的民间组织或个人享受政府规定的水利工程维修养护经费或管护经费财政补助。积极主动为社会资本参与水利建设提供技术服务和支持。</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bCs/>
          <w:color w:val="auto"/>
          <w:spacing w:val="4"/>
          <w:sz w:val="28"/>
          <w:szCs w:val="28"/>
        </w:rPr>
        <w:t>积极培育和发展水市场，</w:t>
      </w:r>
      <w:r>
        <w:rPr>
          <w:rFonts w:ascii="Times New Roman" w:hAnsi="Times New Roman" w:eastAsia="仿宋_GB2312"/>
          <w:color w:val="auto"/>
          <w:spacing w:val="4"/>
          <w:sz w:val="28"/>
          <w:szCs w:val="28"/>
        </w:rPr>
        <w:t>鼓励和引导乡镇间、流域间、流域上下游、行业间、用水户间开展水权交易，探索多种形式的水权流转方式。</w:t>
      </w:r>
    </w:p>
    <w:p>
      <w:pPr>
        <w:numPr>
          <w:ilvl w:val="1"/>
          <w:numId w:val="1"/>
        </w:numPr>
        <w:spacing w:before="300" w:line="360" w:lineRule="auto"/>
        <w:jc w:val="left"/>
        <w:outlineLvl w:val="1"/>
        <w:rPr>
          <w:rFonts w:ascii="Times New Roman" w:hAnsi="Times New Roman" w:eastAsia="黑体"/>
          <w:color w:val="auto"/>
          <w:sz w:val="30"/>
          <w:szCs w:val="32"/>
        </w:rPr>
      </w:pPr>
      <w:bookmarkStart w:id="89" w:name="_Toc62461341"/>
      <w:bookmarkStart w:id="90" w:name="_Toc43754906"/>
      <w:r>
        <w:rPr>
          <w:rFonts w:ascii="Times New Roman" w:hAnsi="Times New Roman" w:eastAsia="黑体"/>
          <w:color w:val="auto"/>
          <w:sz w:val="30"/>
          <w:szCs w:val="32"/>
        </w:rPr>
        <w:t>持续提升水利行业能力</w:t>
      </w:r>
      <w:bookmarkEnd w:id="89"/>
      <w:bookmarkEnd w:id="90"/>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b/>
          <w:color w:val="auto"/>
          <w:spacing w:val="4"/>
          <w:sz w:val="28"/>
          <w:szCs w:val="28"/>
        </w:rPr>
        <w:t>实施和推进水利人才战略。</w:t>
      </w:r>
      <w:r>
        <w:rPr>
          <w:rFonts w:ascii="Times New Roman" w:hAnsi="Times New Roman" w:eastAsia="仿宋_GB2312"/>
          <w:color w:val="auto"/>
          <w:spacing w:val="4"/>
          <w:sz w:val="28"/>
          <w:szCs w:val="28"/>
        </w:rPr>
        <w:t>加强水利人才队伍建设，积极引进高层次专业技术人才、高技能人才明显增加。加强水库处所长培训和跟岗实作培训，优化基层水管单位人员专业、年龄结构，提高技能水平。</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b/>
          <w:color w:val="auto"/>
          <w:spacing w:val="4"/>
          <w:sz w:val="28"/>
          <w:szCs w:val="28"/>
        </w:rPr>
        <w:t>加强基层水利服务体系建设。</w:t>
      </w:r>
      <w:r>
        <w:rPr>
          <w:rFonts w:ascii="Times New Roman" w:hAnsi="Times New Roman" w:eastAsia="仿宋_GB2312"/>
          <w:color w:val="auto"/>
          <w:spacing w:val="4"/>
          <w:sz w:val="28"/>
          <w:szCs w:val="28"/>
        </w:rPr>
        <w:t>健全完善基层水利服务机构，理顺管理体制、完善保障机制；合理确定人员编制和配置；完善人员管理方式，切实放宽基层水利服务机构公开招聘人员条件，继续执行应聘基层水利服务机构人员的优惠政策，进一步完善基层水利服务机构专业技术人员职称评聘政策措施；改善工作条件，建立固定的办公场所，配备基本办公设备和水利专业技术装备。加强水利工程管理设施建设，完善监测、通信预警等管理设施。积极推进农村用水合作组织建设，充分发挥其自建、自管、自用小型水利工程的作用。以农村水利工程管护为重点，进一步加强基层水利专业化服务队伍建设。</w:t>
      </w:r>
    </w:p>
    <w:p>
      <w:pPr>
        <w:pStyle w:val="2"/>
      </w:pPr>
      <w:bookmarkStart w:id="91" w:name="_Toc62461342"/>
      <w:r>
        <w:t>强化监管，提升涉水事务监管水平</w:t>
      </w:r>
      <w:bookmarkEnd w:id="91"/>
    </w:p>
    <w:p>
      <w:pPr>
        <w:pStyle w:val="3"/>
        <w:ind w:firstLine="576"/>
      </w:pPr>
      <w:r>
        <w:t>围绕江河湖泊、水资源、水利工程、水土保持、水旱灾害防御等重点领域，按照“建机制、强能力”的思路，针对涉水事务监管薄弱环节，建立健全监管法制体制机制，强化重点领域全过程、全要素监管，全力提升涉水事务监管水平，实现制度治水、制度管水。</w:t>
      </w:r>
    </w:p>
    <w:p>
      <w:pPr>
        <w:pStyle w:val="4"/>
      </w:pPr>
      <w:bookmarkStart w:id="92" w:name="_Toc53062089"/>
      <w:bookmarkStart w:id="93" w:name="_Toc423073319"/>
      <w:bookmarkStart w:id="94" w:name="_Toc62461343"/>
      <w:bookmarkStart w:id="95" w:name="_Toc427220601"/>
      <w:bookmarkStart w:id="96" w:name="_Toc421776112"/>
      <w:bookmarkStart w:id="97" w:name="_Toc53135476"/>
      <w:r>
        <w:t>完善监管法治体制机制，建立健全监管制度体系</w:t>
      </w:r>
      <w:bookmarkEnd w:id="92"/>
      <w:bookmarkEnd w:id="93"/>
      <w:bookmarkEnd w:id="94"/>
      <w:bookmarkEnd w:id="95"/>
      <w:bookmarkEnd w:id="96"/>
      <w:bookmarkEnd w:id="97"/>
    </w:p>
    <w:p>
      <w:pPr>
        <w:pStyle w:val="3"/>
        <w:ind w:firstLine="576"/>
      </w:pPr>
      <w:r>
        <w:t>从法治入手，建立完善</w:t>
      </w:r>
      <w:r>
        <w:rPr>
          <w:rFonts w:hint="eastAsia"/>
        </w:rPr>
        <w:t>勐海</w:t>
      </w:r>
      <w:r>
        <w:t>水利监管制度体系，根据实践发展对相应法规制度进行修改完善，条件成熟时启动立法程序，使水利监管实践中行之有效的经验及时上升为法规。从体制入手，按照水利部的要求成立相应的督查队伍，形成完整统一、上下联动的督查体系。从机制入手，建立内部运行的规章制度，确保监管队伍能够认真履职尽责，顺利开展工作，树立云南水利行业监管队伍的良好形象。</w:t>
      </w:r>
    </w:p>
    <w:p>
      <w:pPr>
        <w:pStyle w:val="4"/>
      </w:pPr>
      <w:bookmarkStart w:id="98" w:name="_Toc53062090"/>
      <w:bookmarkStart w:id="99" w:name="_Toc53135477"/>
      <w:bookmarkStart w:id="100" w:name="_Toc62461344"/>
      <w:r>
        <w:t>强化江河湖泊的监管，持续改善河湖面貌</w:t>
      </w:r>
      <w:bookmarkEnd w:id="98"/>
      <w:bookmarkEnd w:id="99"/>
      <w:bookmarkEnd w:id="100"/>
    </w:p>
    <w:p>
      <w:pPr>
        <w:pStyle w:val="3"/>
        <w:ind w:firstLine="576"/>
      </w:pPr>
      <w:r>
        <w:t>以河长制湖长制为抓手，以推动河长制从“有名”到“有实”为目标，全面监管“盛水的盆”和“盆里的水”，既管好河道湖泊空间及其水域岸线，又管好河道湖泊中的水体。以“清四乱”为重点，集中力量解决乱占、乱采、乱堆、乱建等问题，打造基本干净、整洁的河湖。压实河长湖长主体责任，建章立制、科学施策、靶向治理，统筹解决水多、水少、水脏、水浑等问题，维护河湖健康生命。</w:t>
      </w:r>
    </w:p>
    <w:p>
      <w:pPr>
        <w:pStyle w:val="4"/>
      </w:pPr>
      <w:bookmarkStart w:id="101" w:name="_Toc53062091"/>
      <w:bookmarkStart w:id="102" w:name="_Toc53135478"/>
      <w:bookmarkStart w:id="103" w:name="_Toc62461345"/>
      <w:r>
        <w:t>强化水资源的监管，促进水资源节约集约利用</w:t>
      </w:r>
      <w:bookmarkEnd w:id="101"/>
      <w:bookmarkEnd w:id="102"/>
      <w:bookmarkEnd w:id="103"/>
    </w:p>
    <w:p>
      <w:pPr>
        <w:pStyle w:val="3"/>
        <w:ind w:firstLine="576"/>
      </w:pPr>
      <w:r>
        <w:t>落实节水优先方针，按照以水定需原则，体现水资源管理“最严格”的要求，全面监管水资源的节约、开发、利用、保护、配置、调度等各环节工作。抓紧制定完善水资源监管标准，推进跨州市重要江河流域水量分配，明确区域用水总量控制指标、江河流域水量分配指标、生态流量管控指标、水资源开发利用和地下水监管指标，建立节水标准定额管理体系，加强水文水资源监测，强化水资源开发利用监控，整治水资源过度开发、无序开发、低水平开发等各种现象。</w:t>
      </w:r>
    </w:p>
    <w:p>
      <w:pPr>
        <w:pStyle w:val="4"/>
      </w:pPr>
      <w:bookmarkStart w:id="104" w:name="_Toc62461346"/>
      <w:bookmarkStart w:id="105" w:name="_Toc53135479"/>
      <w:bookmarkStart w:id="106" w:name="_Toc53062092"/>
      <w:r>
        <w:t>强化水利工程的监管，充分发挥工程综合效益</w:t>
      </w:r>
      <w:bookmarkEnd w:id="104"/>
      <w:bookmarkEnd w:id="105"/>
      <w:bookmarkEnd w:id="106"/>
    </w:p>
    <w:p>
      <w:pPr>
        <w:pStyle w:val="3"/>
        <w:ind w:firstLine="576"/>
      </w:pPr>
      <w:r>
        <w:t>抓好水利工程建设进度、质量、安全生产等方面监管，加大对工程安全规范运行的监管。抓好水利工程建设监管，要压实项目法人、参建各方和项目主管部门责任，强化前期工作、设计变更、“四制”执行、质量管理、移民安置、工程验收等环节的监管，全面提升工程建设质量，同时要健全水利市场监管机制，引导水利建设市场良性发展。抓好水利工程运行管理监管，要完善水利工程运行管理制度和技术标准，全面开展水利工程安全鉴定，摸清工程运行现状，及早消除安全隐患，确保工程安全运行；加强对工程管护主体、管护人员和管护经费落实情况的监管，农村饮水工程要合理制定水价，足额收缴水费，建立良性运行机制，确保工程发挥效益。</w:t>
      </w:r>
    </w:p>
    <w:p>
      <w:pPr>
        <w:pStyle w:val="4"/>
      </w:pPr>
      <w:bookmarkStart w:id="107" w:name="_Toc53135480"/>
      <w:bookmarkStart w:id="108" w:name="_Toc53062093"/>
      <w:bookmarkStart w:id="109" w:name="_Toc62461347"/>
      <w:r>
        <w:t>强化水土保持监管，提升水土保持管理和服务水平</w:t>
      </w:r>
      <w:bookmarkEnd w:id="107"/>
      <w:bookmarkEnd w:id="108"/>
      <w:bookmarkEnd w:id="109"/>
    </w:p>
    <w:p>
      <w:pPr>
        <w:pStyle w:val="3"/>
        <w:ind w:firstLine="576"/>
      </w:pPr>
      <w:r>
        <w:t>全面监管水土流失状况，全面监管生产建设活动造成的人为水土流失情况。建立完备的水土保持监管制度体系，完善相关技术标准。完善监测站网建设，提升监测能力，充分运用高新技术手段开展监测，实现年度水土流失动态监测全覆盖和人为水土流失监管全覆盖，及时掌握并发布全国及重点区域水土流失状况和治理成效，及时发现并查处水土保持违法违规行为，有效遏制人为水土流失。</w:t>
      </w:r>
    </w:p>
    <w:p>
      <w:pPr>
        <w:pStyle w:val="4"/>
      </w:pPr>
      <w:bookmarkStart w:id="110" w:name="_Toc53062094"/>
      <w:bookmarkStart w:id="111" w:name="_Toc53135481"/>
      <w:bookmarkStart w:id="112" w:name="_Toc62461348"/>
      <w:r>
        <w:t>强化水安全风险管控，提高应急处置能力</w:t>
      </w:r>
      <w:bookmarkEnd w:id="110"/>
      <w:bookmarkEnd w:id="111"/>
      <w:bookmarkEnd w:id="112"/>
    </w:p>
    <w:p>
      <w:pPr>
        <w:pStyle w:val="3"/>
        <w:ind w:firstLine="576"/>
      </w:pPr>
      <w:r>
        <w:t>牢固树立底线思维，强化风险意识，加强江河工程超标准洪水安全风险监测监控，完善水库、水闸和区域水利工程安全监测监管等平台功能，健全工程安全鉴定常态化工作机制，及时研究调整带病带险水库、水闸等工程调度运行方案，妥善应对防洪、水资源、水生态环境、水利工程等领域及水库移民稳定风险，最大程度预防和减少突发水安全事件造成的损害，确保工程运行安全。</w:t>
      </w:r>
    </w:p>
    <w:p>
      <w:pPr>
        <w:pStyle w:val="4"/>
      </w:pPr>
      <w:bookmarkStart w:id="113" w:name="_Toc53135482"/>
      <w:bookmarkStart w:id="114" w:name="_Toc53062095"/>
      <w:bookmarkStart w:id="115" w:name="_Toc62461349"/>
      <w:r>
        <w:t>强化水行政执法，维护水法规权威</w:t>
      </w:r>
      <w:bookmarkEnd w:id="113"/>
      <w:bookmarkEnd w:id="114"/>
      <w:bookmarkEnd w:id="115"/>
    </w:p>
    <w:p>
      <w:pPr>
        <w:pStyle w:val="3"/>
        <w:ind w:firstLine="576"/>
      </w:pPr>
      <w:r>
        <w:t>推进政府水治理事权规范化、法律化，强化地方政府区域内水安全保障工作职责。推进综合治水，统筹水资源水生态水环境水灾害治理，加强和改进新形势下水行政执法工作，集中执法职权、下移执法重心，全面实行综合执法。加强执法队伍和能力建设，落实执法人员持证上岗和资源管理制度，推行水行政执法公示制度、执法全过程记录制度、重大执法决定法制审核制度，构建智能化水行政执法体系，提高执法效率与规范化水平。完善水事矛盾纠纷预防调处机制，加强源头控制和隐患排查化解，加大重大水事纠纷调解力度。</w:t>
      </w:r>
    </w:p>
    <w:p>
      <w:pPr>
        <w:pStyle w:val="2"/>
      </w:pPr>
      <w:bookmarkStart w:id="116" w:name="_Toc62461350"/>
      <w:bookmarkStart w:id="117" w:name="_Toc43754907"/>
      <w:r>
        <w:t>投资规模匡算</w:t>
      </w:r>
      <w:bookmarkEnd w:id="116"/>
      <w:bookmarkEnd w:id="117"/>
    </w:p>
    <w:p>
      <w:pPr>
        <w:pStyle w:val="4"/>
      </w:pPr>
      <w:bookmarkStart w:id="118" w:name="_Toc62461351"/>
      <w:bookmarkStart w:id="119" w:name="_Toc43754908"/>
      <w:r>
        <w:rPr>
          <w:rFonts w:hint="eastAsia"/>
        </w:rPr>
        <w:t>匡算依据</w:t>
      </w:r>
      <w:bookmarkEnd w:id="118"/>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1</w:t>
      </w:r>
      <w:r>
        <w:rPr>
          <w:rFonts w:hint="eastAsia" w:ascii="Times New Roman" w:hAnsi="Times New Roman" w:eastAsia="仿宋_GB2312"/>
          <w:color w:val="auto"/>
          <w:spacing w:val="4"/>
          <w:sz w:val="28"/>
          <w:szCs w:val="28"/>
        </w:rPr>
        <w:t>）《水利工程设计概（估）算编制规定》（水总〔</w:t>
      </w:r>
      <w:r>
        <w:rPr>
          <w:rFonts w:ascii="Times New Roman" w:hAnsi="Times New Roman" w:eastAsia="仿宋_GB2312"/>
          <w:color w:val="auto"/>
          <w:spacing w:val="4"/>
          <w:sz w:val="28"/>
          <w:szCs w:val="28"/>
        </w:rPr>
        <w:t>2014</w:t>
      </w: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 xml:space="preserve">429 </w:t>
      </w:r>
      <w:r>
        <w:rPr>
          <w:rFonts w:hint="eastAsia" w:ascii="Times New Roman" w:hAnsi="Times New Roman" w:eastAsia="仿宋_GB2312"/>
          <w:color w:val="auto"/>
          <w:spacing w:val="4"/>
          <w:sz w:val="28"/>
          <w:szCs w:val="28"/>
        </w:rPr>
        <w:t>号）；</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2</w:t>
      </w:r>
      <w:r>
        <w:rPr>
          <w:rFonts w:hint="eastAsia" w:ascii="Times New Roman" w:hAnsi="Times New Roman" w:eastAsia="仿宋_GB2312"/>
          <w:color w:val="auto"/>
          <w:spacing w:val="4"/>
          <w:sz w:val="28"/>
          <w:szCs w:val="28"/>
        </w:rPr>
        <w:t>）近年来勐海县已建、在建工程单位投资指标；</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3</w:t>
      </w:r>
      <w:r>
        <w:rPr>
          <w:rFonts w:hint="eastAsia" w:ascii="Times New Roman" w:hAnsi="Times New Roman" w:eastAsia="仿宋_GB2312"/>
          <w:color w:val="auto"/>
          <w:spacing w:val="4"/>
          <w:sz w:val="28"/>
          <w:szCs w:val="28"/>
        </w:rPr>
        <w:t>）《勐海县“十四五”水资源开发利用和保护思路与对策研究》；</w:t>
      </w:r>
    </w:p>
    <w:p>
      <w:pPr>
        <w:spacing w:line="560" w:lineRule="exact"/>
        <w:ind w:firstLine="576" w:firstLineChars="200"/>
        <w:rPr>
          <w:rFonts w:ascii="Times New Roman" w:hAnsi="Times New Roman" w:eastAsia="仿宋_GB2312"/>
          <w:color w:val="auto"/>
          <w:spacing w:val="4"/>
          <w:sz w:val="28"/>
          <w:szCs w:val="28"/>
        </w:rPr>
      </w:pPr>
      <w:r>
        <w:rPr>
          <w:rFonts w:hint="eastAsia" w:ascii="Times New Roman" w:hAnsi="Times New Roman" w:eastAsia="仿宋_GB2312"/>
          <w:color w:val="auto"/>
          <w:spacing w:val="4"/>
          <w:sz w:val="28"/>
          <w:szCs w:val="28"/>
        </w:rPr>
        <w:t>（</w:t>
      </w:r>
      <w:r>
        <w:rPr>
          <w:rFonts w:ascii="Times New Roman" w:hAnsi="Times New Roman" w:eastAsia="仿宋_GB2312"/>
          <w:color w:val="auto"/>
          <w:spacing w:val="4"/>
          <w:sz w:val="28"/>
          <w:szCs w:val="28"/>
        </w:rPr>
        <w:t>4</w:t>
      </w:r>
      <w:r>
        <w:rPr>
          <w:rFonts w:hint="eastAsia" w:ascii="Times New Roman" w:hAnsi="Times New Roman" w:eastAsia="仿宋_GB2312"/>
          <w:color w:val="auto"/>
          <w:spacing w:val="4"/>
          <w:sz w:val="28"/>
          <w:szCs w:val="28"/>
        </w:rPr>
        <w:t>）勐海县水资源利用规划（</w:t>
      </w:r>
      <w:r>
        <w:rPr>
          <w:rFonts w:ascii="Times New Roman" w:hAnsi="Times New Roman" w:eastAsia="仿宋_GB2312"/>
          <w:color w:val="auto"/>
          <w:spacing w:val="4"/>
          <w:sz w:val="28"/>
          <w:szCs w:val="28"/>
        </w:rPr>
        <w:t>2014</w:t>
      </w:r>
      <w:r>
        <w:rPr>
          <w:rFonts w:hint="eastAsia" w:ascii="Times New Roman" w:hAnsi="Times New Roman" w:eastAsia="仿宋_GB2312"/>
          <w:color w:val="auto"/>
          <w:spacing w:val="4"/>
          <w:sz w:val="28"/>
          <w:szCs w:val="28"/>
        </w:rPr>
        <w:t>）；</w:t>
      </w:r>
    </w:p>
    <w:p>
      <w:pPr>
        <w:pStyle w:val="3"/>
        <w:ind w:firstLine="576"/>
      </w:pPr>
      <w:r>
        <w:rPr>
          <w:rFonts w:hint="eastAsia"/>
        </w:rPr>
        <w:t>（</w:t>
      </w:r>
      <w:r>
        <w:t>5</w:t>
      </w:r>
      <w:r>
        <w:rPr>
          <w:rFonts w:hint="eastAsia"/>
        </w:rPr>
        <w:t>）规划工程前期工作成果。</w:t>
      </w:r>
    </w:p>
    <w:p>
      <w:pPr>
        <w:pStyle w:val="4"/>
      </w:pPr>
      <w:bookmarkStart w:id="120" w:name="_Toc62461352"/>
      <w:r>
        <w:t>投资规模匡算</w:t>
      </w:r>
      <w:bookmarkEnd w:id="119"/>
      <w:bookmarkEnd w:id="120"/>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勐海县</w:t>
      </w:r>
      <w:r>
        <w:rPr>
          <w:rFonts w:hint="eastAsia" w:ascii="Times New Roman" w:hAnsi="Times New Roman" w:eastAsia="仿宋_GB2312"/>
          <w:color w:val="auto"/>
          <w:spacing w:val="4"/>
          <w:sz w:val="28"/>
          <w:szCs w:val="28"/>
        </w:rPr>
        <w:t>“十四五”水安全保障规划项目包含防洪、供水、水生态和智慧水利四大类，共计112</w:t>
      </w:r>
      <w:r>
        <w:rPr>
          <w:rFonts w:ascii="Times New Roman" w:hAnsi="Times New Roman" w:eastAsia="仿宋_GB2312"/>
          <w:color w:val="auto"/>
          <w:spacing w:val="4"/>
          <w:sz w:val="28"/>
          <w:szCs w:val="28"/>
        </w:rPr>
        <w:t>项，总投资</w:t>
      </w:r>
      <w:r>
        <w:rPr>
          <w:rFonts w:hint="eastAsia" w:ascii="Times New Roman" w:hAnsi="Times New Roman" w:eastAsia="仿宋_GB2312"/>
          <w:color w:val="auto"/>
          <w:spacing w:val="4"/>
          <w:sz w:val="28"/>
          <w:szCs w:val="28"/>
        </w:rPr>
        <w:t>101.04亿</w:t>
      </w:r>
      <w:r>
        <w:rPr>
          <w:rFonts w:ascii="Times New Roman" w:hAnsi="Times New Roman" w:eastAsia="仿宋_GB2312"/>
          <w:color w:val="auto"/>
          <w:spacing w:val="4"/>
          <w:sz w:val="28"/>
          <w:szCs w:val="28"/>
        </w:rPr>
        <w:t>元（</w:t>
      </w:r>
      <w:r>
        <w:rPr>
          <w:rFonts w:hint="eastAsia" w:ascii="Times New Roman" w:hAnsi="Times New Roman" w:eastAsia="仿宋_GB2312"/>
          <w:color w:val="auto"/>
          <w:spacing w:val="4"/>
          <w:sz w:val="28"/>
          <w:szCs w:val="28"/>
        </w:rPr>
        <w:t>含“十三五”结转项目</w:t>
      </w:r>
      <w:r>
        <w:rPr>
          <w:rFonts w:ascii="Times New Roman" w:hAnsi="Times New Roman" w:eastAsia="仿宋_GB2312"/>
          <w:color w:val="auto"/>
          <w:spacing w:val="4"/>
          <w:sz w:val="28"/>
          <w:szCs w:val="28"/>
        </w:rPr>
        <w:t>）。</w:t>
      </w:r>
      <w:r>
        <w:rPr>
          <w:rFonts w:hint="eastAsia" w:ascii="Times New Roman" w:hAnsi="Times New Roman" w:eastAsia="仿宋_GB2312"/>
          <w:color w:val="auto"/>
          <w:spacing w:val="4"/>
          <w:sz w:val="28"/>
          <w:szCs w:val="28"/>
        </w:rPr>
        <w:t>其中防洪类项目包括中小河流治理、山洪沟治理以及病险水库（闸、坝塘）除险加固，项目合计37个，总投资8.99</w:t>
      </w:r>
      <w:r>
        <w:rPr>
          <w:rFonts w:ascii="Times New Roman" w:hAnsi="Times New Roman" w:eastAsia="仿宋_GB2312"/>
          <w:color w:val="auto"/>
          <w:spacing w:val="4"/>
          <w:sz w:val="28"/>
          <w:szCs w:val="28"/>
        </w:rPr>
        <w:t xml:space="preserve"> </w:t>
      </w:r>
      <w:r>
        <w:rPr>
          <w:rFonts w:hint="eastAsia" w:ascii="Times New Roman" w:hAnsi="Times New Roman" w:eastAsia="仿宋_GB2312"/>
          <w:color w:val="auto"/>
          <w:spacing w:val="4"/>
          <w:sz w:val="28"/>
          <w:szCs w:val="28"/>
        </w:rPr>
        <w:t>亿元，占规划总投资的8.9</w:t>
      </w:r>
      <w:r>
        <w:rPr>
          <w:rFonts w:ascii="Times New Roman" w:hAnsi="Times New Roman" w:eastAsia="仿宋_GB2312"/>
          <w:color w:val="auto"/>
          <w:spacing w:val="4"/>
          <w:sz w:val="28"/>
          <w:szCs w:val="28"/>
        </w:rPr>
        <w:t>%</w:t>
      </w:r>
      <w:r>
        <w:rPr>
          <w:rFonts w:hint="eastAsia" w:ascii="Times New Roman" w:hAnsi="Times New Roman" w:eastAsia="仿宋_GB2312"/>
          <w:color w:val="auto"/>
          <w:spacing w:val="4"/>
          <w:sz w:val="28"/>
          <w:szCs w:val="28"/>
        </w:rPr>
        <w:t>；供水类项目包括重点水源工程、重点水系连通工程、新建中型灌区、乡镇抗旱水源工程、大型灌区续建配套与现代化改造、农村饮水安全巩固提升工程以及水库清淤增效工程，项目合计56</w:t>
      </w:r>
      <w:r>
        <w:rPr>
          <w:rFonts w:ascii="Times New Roman" w:hAnsi="Times New Roman" w:eastAsia="仿宋_GB2312"/>
          <w:color w:val="auto"/>
          <w:spacing w:val="4"/>
          <w:sz w:val="28"/>
          <w:szCs w:val="28"/>
        </w:rPr>
        <w:t xml:space="preserve"> </w:t>
      </w:r>
      <w:r>
        <w:rPr>
          <w:rFonts w:hint="eastAsia" w:ascii="Times New Roman" w:hAnsi="Times New Roman" w:eastAsia="仿宋_GB2312"/>
          <w:color w:val="auto"/>
          <w:spacing w:val="4"/>
          <w:sz w:val="28"/>
          <w:szCs w:val="28"/>
        </w:rPr>
        <w:t>个，总投资63.13</w:t>
      </w:r>
      <w:r>
        <w:rPr>
          <w:rFonts w:ascii="Times New Roman" w:hAnsi="Times New Roman" w:eastAsia="仿宋_GB2312"/>
          <w:color w:val="auto"/>
          <w:spacing w:val="4"/>
          <w:sz w:val="28"/>
          <w:szCs w:val="28"/>
        </w:rPr>
        <w:t xml:space="preserve"> </w:t>
      </w:r>
      <w:r>
        <w:rPr>
          <w:rFonts w:hint="eastAsia" w:ascii="Times New Roman" w:hAnsi="Times New Roman" w:eastAsia="仿宋_GB2312"/>
          <w:color w:val="auto"/>
          <w:spacing w:val="4"/>
          <w:sz w:val="28"/>
          <w:szCs w:val="28"/>
        </w:rPr>
        <w:t>亿元，占规划总投资的62.5</w:t>
      </w:r>
      <w:r>
        <w:rPr>
          <w:rFonts w:ascii="Times New Roman" w:hAnsi="Times New Roman" w:eastAsia="仿宋_GB2312"/>
          <w:color w:val="auto"/>
          <w:spacing w:val="4"/>
          <w:sz w:val="28"/>
          <w:szCs w:val="28"/>
        </w:rPr>
        <w:t>%</w:t>
      </w:r>
      <w:r>
        <w:rPr>
          <w:rFonts w:hint="eastAsia" w:ascii="Times New Roman" w:hAnsi="Times New Roman" w:eastAsia="仿宋_GB2312"/>
          <w:color w:val="auto"/>
          <w:spacing w:val="4"/>
          <w:sz w:val="28"/>
          <w:szCs w:val="28"/>
        </w:rPr>
        <w:t>；水生态类项目包括水源涵养与水土保持、重点河湖生态治理与修复以及农村水系综合整治</w:t>
      </w:r>
      <w:r>
        <w:rPr>
          <w:rFonts w:ascii="Times New Roman" w:hAnsi="Times New Roman" w:eastAsia="仿宋_GB2312"/>
          <w:color w:val="auto"/>
          <w:spacing w:val="4"/>
          <w:sz w:val="28"/>
          <w:szCs w:val="28"/>
        </w:rPr>
        <w:t>3</w:t>
      </w:r>
      <w:r>
        <w:rPr>
          <w:rFonts w:hint="eastAsia" w:ascii="Times New Roman" w:hAnsi="Times New Roman" w:eastAsia="仿宋_GB2312"/>
          <w:color w:val="auto"/>
          <w:spacing w:val="4"/>
          <w:sz w:val="28"/>
          <w:szCs w:val="28"/>
        </w:rPr>
        <w:t>类，合计14个项目，投资24.75亿元，占规划总投资的24.5</w:t>
      </w:r>
      <w:r>
        <w:rPr>
          <w:rFonts w:ascii="Times New Roman" w:hAnsi="Times New Roman" w:eastAsia="仿宋_GB2312"/>
          <w:color w:val="auto"/>
          <w:spacing w:val="4"/>
          <w:sz w:val="28"/>
          <w:szCs w:val="28"/>
        </w:rPr>
        <w:t>%</w:t>
      </w:r>
      <w:r>
        <w:rPr>
          <w:rFonts w:hint="eastAsia" w:ascii="Times New Roman" w:hAnsi="Times New Roman" w:eastAsia="仿宋_GB2312"/>
          <w:color w:val="auto"/>
          <w:spacing w:val="4"/>
          <w:sz w:val="28"/>
          <w:szCs w:val="28"/>
        </w:rPr>
        <w:t>；智慧水利类项目5个，总投资4.17亿元，占总投资的4.1</w:t>
      </w:r>
      <w:r>
        <w:rPr>
          <w:rFonts w:ascii="Times New Roman" w:hAnsi="Times New Roman" w:eastAsia="仿宋_GB2312"/>
          <w:color w:val="auto"/>
          <w:spacing w:val="4"/>
          <w:sz w:val="28"/>
          <w:szCs w:val="28"/>
        </w:rPr>
        <w:t>%</w:t>
      </w:r>
      <w:r>
        <w:rPr>
          <w:rFonts w:hint="eastAsia" w:ascii="Times New Roman" w:hAnsi="Times New Roman" w:eastAsia="仿宋_GB2312"/>
          <w:color w:val="auto"/>
          <w:spacing w:val="4"/>
          <w:sz w:val="28"/>
          <w:szCs w:val="28"/>
        </w:rPr>
        <w:t>。</w:t>
      </w:r>
    </w:p>
    <w:p>
      <w:pPr>
        <w:pStyle w:val="13"/>
        <w:rPr>
          <w:rFonts w:hint="eastAsia"/>
        </w:rPr>
      </w:pPr>
      <w:r>
        <w:t xml:space="preserve">表 </w:t>
      </w:r>
      <w:r>
        <w:fldChar w:fldCharType="begin"/>
      </w:r>
      <w:r>
        <w:instrText xml:space="preserve"> STYLEREF 2 \s </w:instrText>
      </w:r>
      <w:r>
        <w:fldChar w:fldCharType="separate"/>
      </w:r>
      <w:r>
        <w:t>10.2</w:t>
      </w:r>
      <w:r>
        <w:fldChar w:fldCharType="end"/>
      </w:r>
      <w:r>
        <w:t>.</w:t>
      </w:r>
      <w:r>
        <w:fldChar w:fldCharType="begin"/>
      </w:r>
      <w:r>
        <w:instrText xml:space="preserve"> SEQ 表 \* ARABIC \s 2 </w:instrText>
      </w:r>
      <w:r>
        <w:fldChar w:fldCharType="separate"/>
      </w:r>
      <w:r>
        <w:t>1</w:t>
      </w:r>
      <w:r>
        <w:fldChar w:fldCharType="end"/>
      </w:r>
      <w:r>
        <w:rPr>
          <w:rFonts w:hint="eastAsia"/>
        </w:rPr>
        <w:t>“十四五”水安全保障规划项目投资统计</w:t>
      </w:r>
    </w:p>
    <w:tbl>
      <w:tblPr>
        <w:tblStyle w:val="32"/>
        <w:tblW w:w="9286" w:type="dxa"/>
        <w:tblInd w:w="0" w:type="dxa"/>
        <w:tblLayout w:type="fixed"/>
        <w:tblCellMar>
          <w:top w:w="0" w:type="dxa"/>
          <w:left w:w="108" w:type="dxa"/>
          <w:bottom w:w="0" w:type="dxa"/>
          <w:right w:w="108" w:type="dxa"/>
        </w:tblCellMar>
      </w:tblPr>
      <w:tblGrid>
        <w:gridCol w:w="913"/>
        <w:gridCol w:w="3973"/>
        <w:gridCol w:w="1333"/>
        <w:gridCol w:w="1312"/>
        <w:gridCol w:w="1755"/>
      </w:tblGrid>
      <w:tr>
        <w:tblPrEx>
          <w:tblLayout w:type="fixed"/>
          <w:tblCellMar>
            <w:top w:w="0" w:type="dxa"/>
            <w:left w:w="108" w:type="dxa"/>
            <w:bottom w:w="0" w:type="dxa"/>
            <w:right w:w="108" w:type="dxa"/>
          </w:tblCellMar>
        </w:tblPrEx>
        <w:trPr>
          <w:trHeight w:val="516" w:hRule="atLeast"/>
          <w:tblHeader/>
        </w:trPr>
        <w:tc>
          <w:tcPr>
            <w:tcW w:w="913" w:type="dxa"/>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项目类别</w:t>
            </w:r>
          </w:p>
        </w:tc>
        <w:tc>
          <w:tcPr>
            <w:tcW w:w="3973"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工程类型</w:t>
            </w:r>
          </w:p>
        </w:tc>
        <w:tc>
          <w:tcPr>
            <w:tcW w:w="1333"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工程数量（件）</w:t>
            </w:r>
          </w:p>
        </w:tc>
        <w:tc>
          <w:tcPr>
            <w:tcW w:w="1312" w:type="dxa"/>
            <w:tcBorders>
              <w:top w:val="single" w:color="auto" w:sz="8" w:space="0"/>
              <w:left w:val="nil"/>
              <w:bottom w:val="single" w:color="auto" w:sz="4" w:space="0"/>
              <w:right w:val="single" w:color="auto" w:sz="4" w:space="0"/>
            </w:tcBorders>
            <w:shd w:val="clear" w:color="auto" w:fill="auto"/>
            <w:vAlign w:val="center"/>
          </w:tcPr>
          <w:p>
            <w:pPr>
              <w:widowControl/>
              <w:jc w:val="center"/>
              <w:rPr>
                <w:rFonts w:cs="宋体"/>
                <w:kern w:val="0"/>
                <w:szCs w:val="24"/>
              </w:rPr>
            </w:pPr>
            <w:r>
              <w:rPr>
                <w:rFonts w:hint="eastAsia" w:cs="宋体"/>
                <w:kern w:val="0"/>
                <w:szCs w:val="24"/>
              </w:rPr>
              <w:t>总投资（亿元）</w:t>
            </w:r>
          </w:p>
        </w:tc>
        <w:tc>
          <w:tcPr>
            <w:tcW w:w="1755" w:type="dxa"/>
            <w:tcBorders>
              <w:top w:val="single" w:color="auto" w:sz="8" w:space="0"/>
              <w:left w:val="nil"/>
              <w:bottom w:val="single" w:color="auto" w:sz="4" w:space="0"/>
              <w:right w:val="single" w:color="auto" w:sz="8" w:space="0"/>
            </w:tcBorders>
            <w:shd w:val="clear" w:color="auto" w:fill="auto"/>
            <w:vAlign w:val="center"/>
          </w:tcPr>
          <w:p>
            <w:pPr>
              <w:widowControl/>
              <w:jc w:val="center"/>
              <w:rPr>
                <w:rFonts w:cs="宋体"/>
                <w:kern w:val="0"/>
                <w:szCs w:val="24"/>
              </w:rPr>
            </w:pPr>
            <w:r>
              <w:rPr>
                <w:rFonts w:hint="eastAsia" w:cs="宋体"/>
                <w:kern w:val="0"/>
                <w:szCs w:val="24"/>
              </w:rPr>
              <w:t>十四五期间投资（亿元）</w:t>
            </w:r>
          </w:p>
        </w:tc>
      </w:tr>
      <w:tr>
        <w:tblPrEx>
          <w:tblLayout w:type="fixed"/>
          <w:tblCellMar>
            <w:top w:w="0" w:type="dxa"/>
            <w:left w:w="108" w:type="dxa"/>
            <w:bottom w:w="0" w:type="dxa"/>
            <w:right w:w="108" w:type="dxa"/>
          </w:tblCellMar>
        </w:tblPrEx>
        <w:trPr>
          <w:trHeight w:val="480" w:hRule="atLeast"/>
        </w:trPr>
        <w:tc>
          <w:tcPr>
            <w:tcW w:w="91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防洪类</w:t>
            </w:r>
          </w:p>
        </w:tc>
        <w:tc>
          <w:tcPr>
            <w:tcW w:w="39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auto"/>
                <w:kern w:val="0"/>
                <w:szCs w:val="24"/>
              </w:rPr>
            </w:pPr>
            <w:r>
              <w:rPr>
                <w:rFonts w:hint="eastAsia"/>
                <w:color w:val="auto"/>
                <w:kern w:val="0"/>
                <w:szCs w:val="24"/>
              </w:rPr>
              <w:t>中小河流治理</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12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4.08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1.44 </w:t>
            </w:r>
          </w:p>
        </w:tc>
      </w:tr>
      <w:tr>
        <w:tblPrEx>
          <w:tblLayout w:type="fixed"/>
          <w:tblCellMar>
            <w:top w:w="0" w:type="dxa"/>
            <w:left w:w="108" w:type="dxa"/>
            <w:bottom w:w="0" w:type="dxa"/>
            <w:right w:w="108" w:type="dxa"/>
          </w:tblCellMar>
        </w:tblPrEx>
        <w:trPr>
          <w:trHeight w:val="312"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auto"/>
                <w:kern w:val="0"/>
                <w:szCs w:val="24"/>
              </w:rPr>
            </w:pPr>
            <w:r>
              <w:rPr>
                <w:rFonts w:hint="eastAsia"/>
                <w:color w:val="auto"/>
                <w:kern w:val="0"/>
                <w:szCs w:val="24"/>
              </w:rPr>
              <w:t>山洪沟治理</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6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1.07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0.35 </w:t>
            </w:r>
          </w:p>
        </w:tc>
      </w:tr>
      <w:tr>
        <w:tblPrEx>
          <w:tblLayout w:type="fixed"/>
          <w:tblCellMar>
            <w:top w:w="0" w:type="dxa"/>
            <w:left w:w="108" w:type="dxa"/>
            <w:bottom w:w="0" w:type="dxa"/>
            <w:right w:w="108" w:type="dxa"/>
          </w:tblCellMar>
        </w:tblPrEx>
        <w:trPr>
          <w:trHeight w:val="312"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auto"/>
                <w:kern w:val="0"/>
                <w:szCs w:val="24"/>
              </w:rPr>
            </w:pPr>
            <w:r>
              <w:rPr>
                <w:rFonts w:hint="eastAsia"/>
                <w:color w:val="auto"/>
                <w:kern w:val="0"/>
                <w:szCs w:val="24"/>
              </w:rPr>
              <w:t>病险水库除险加固</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4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2.04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1.16 </w:t>
            </w:r>
          </w:p>
        </w:tc>
      </w:tr>
      <w:tr>
        <w:tblPrEx>
          <w:tblLayout w:type="fixed"/>
          <w:tblCellMar>
            <w:top w:w="0" w:type="dxa"/>
            <w:left w:w="108" w:type="dxa"/>
            <w:bottom w:w="0" w:type="dxa"/>
            <w:right w:w="108" w:type="dxa"/>
          </w:tblCellMar>
        </w:tblPrEx>
        <w:trPr>
          <w:trHeight w:val="312"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auto"/>
                <w:kern w:val="0"/>
                <w:szCs w:val="24"/>
              </w:rPr>
            </w:pPr>
            <w:r>
              <w:rPr>
                <w:rFonts w:hint="eastAsia"/>
                <w:color w:val="auto"/>
                <w:kern w:val="0"/>
                <w:szCs w:val="24"/>
              </w:rPr>
              <w:t>病险水闸除险加固</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15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1.80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0.65 </w:t>
            </w:r>
          </w:p>
        </w:tc>
      </w:tr>
      <w:tr>
        <w:tblPrEx>
          <w:tblLayout w:type="fixed"/>
          <w:tblCellMar>
            <w:top w:w="0" w:type="dxa"/>
            <w:left w:w="108" w:type="dxa"/>
            <w:bottom w:w="0" w:type="dxa"/>
            <w:right w:w="108" w:type="dxa"/>
          </w:tblCellMar>
        </w:tblPrEx>
        <w:trPr>
          <w:trHeight w:val="300"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小计</w:t>
            </w:r>
          </w:p>
        </w:tc>
        <w:tc>
          <w:tcPr>
            <w:tcW w:w="133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auto"/>
                <w:kern w:val="0"/>
                <w:szCs w:val="24"/>
              </w:rPr>
            </w:pPr>
            <w:r>
              <w:rPr>
                <w:rFonts w:ascii="Times New Roman" w:hAnsi="Times New Roman"/>
                <w:color w:val="auto"/>
                <w:kern w:val="0"/>
                <w:szCs w:val="24"/>
              </w:rPr>
              <w:t xml:space="preserve">37 </w:t>
            </w:r>
          </w:p>
        </w:tc>
        <w:tc>
          <w:tcPr>
            <w:tcW w:w="131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auto"/>
                <w:kern w:val="0"/>
                <w:szCs w:val="24"/>
              </w:rPr>
            </w:pPr>
            <w:r>
              <w:rPr>
                <w:rFonts w:ascii="Times New Roman" w:hAnsi="Times New Roman"/>
                <w:color w:val="auto"/>
                <w:kern w:val="0"/>
                <w:szCs w:val="24"/>
              </w:rPr>
              <w:t xml:space="preserve">8.99 </w:t>
            </w:r>
          </w:p>
        </w:tc>
        <w:tc>
          <w:tcPr>
            <w:tcW w:w="1755"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color w:val="auto"/>
                <w:kern w:val="0"/>
                <w:szCs w:val="24"/>
              </w:rPr>
            </w:pPr>
            <w:r>
              <w:rPr>
                <w:rFonts w:ascii="Times New Roman" w:hAnsi="Times New Roman"/>
                <w:color w:val="auto"/>
                <w:kern w:val="0"/>
                <w:szCs w:val="24"/>
              </w:rPr>
              <w:t xml:space="preserve">3.60 </w:t>
            </w:r>
          </w:p>
        </w:tc>
      </w:tr>
      <w:tr>
        <w:tblPrEx>
          <w:tblLayout w:type="fixed"/>
          <w:tblCellMar>
            <w:top w:w="0" w:type="dxa"/>
            <w:left w:w="108" w:type="dxa"/>
            <w:bottom w:w="0" w:type="dxa"/>
            <w:right w:w="108" w:type="dxa"/>
          </w:tblCellMar>
        </w:tblPrEx>
        <w:trPr>
          <w:trHeight w:val="300" w:hRule="atLeast"/>
        </w:trPr>
        <w:tc>
          <w:tcPr>
            <w:tcW w:w="91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供水类</w:t>
            </w:r>
          </w:p>
        </w:tc>
        <w:tc>
          <w:tcPr>
            <w:tcW w:w="39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重点水源工程（中型</w:t>
            </w:r>
            <w:r>
              <w:rPr>
                <w:rFonts w:ascii="Times New Roman" w:hAnsi="Times New Roman"/>
                <w:kern w:val="0"/>
                <w:szCs w:val="24"/>
              </w:rPr>
              <w:t>3</w:t>
            </w:r>
            <w:r>
              <w:rPr>
                <w:rFonts w:hint="eastAsia"/>
                <w:kern w:val="0"/>
                <w:szCs w:val="24"/>
              </w:rPr>
              <w:t>座，小型</w:t>
            </w:r>
            <w:r>
              <w:rPr>
                <w:rFonts w:ascii="Times New Roman" w:hAnsi="Times New Roman"/>
                <w:kern w:val="0"/>
                <w:szCs w:val="24"/>
              </w:rPr>
              <w:t>3</w:t>
            </w:r>
            <w:r>
              <w:rPr>
                <w:rFonts w:hint="eastAsia"/>
                <w:kern w:val="0"/>
                <w:szCs w:val="24"/>
              </w:rPr>
              <w:t>座）</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10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25.60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8.14 </w:t>
            </w:r>
          </w:p>
        </w:tc>
      </w:tr>
      <w:tr>
        <w:tblPrEx>
          <w:tblLayout w:type="fixed"/>
          <w:tblCellMar>
            <w:top w:w="0" w:type="dxa"/>
            <w:left w:w="108" w:type="dxa"/>
            <w:bottom w:w="0" w:type="dxa"/>
            <w:right w:w="108" w:type="dxa"/>
          </w:tblCellMar>
        </w:tblPrEx>
        <w:trPr>
          <w:trHeight w:val="336"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4"/>
              </w:rPr>
            </w:pPr>
            <w:r>
              <w:rPr>
                <w:rFonts w:hint="eastAsia" w:cs="宋体"/>
                <w:kern w:val="0"/>
                <w:szCs w:val="24"/>
              </w:rPr>
              <w:t>重点水系连通工程建设项目</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3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5.40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0.15 </w:t>
            </w:r>
          </w:p>
        </w:tc>
      </w:tr>
      <w:tr>
        <w:tblPrEx>
          <w:tblLayout w:type="fixed"/>
          <w:tblCellMar>
            <w:top w:w="0" w:type="dxa"/>
            <w:left w:w="108" w:type="dxa"/>
            <w:bottom w:w="0" w:type="dxa"/>
            <w:right w:w="108" w:type="dxa"/>
          </w:tblCellMar>
        </w:tblPrEx>
        <w:trPr>
          <w:trHeight w:val="396"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新建大中型灌区</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5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3.15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1.03 </w:t>
            </w:r>
          </w:p>
        </w:tc>
      </w:tr>
      <w:tr>
        <w:tblPrEx>
          <w:tblLayout w:type="fixed"/>
          <w:tblCellMar>
            <w:top w:w="0" w:type="dxa"/>
            <w:left w:w="108" w:type="dxa"/>
            <w:bottom w:w="0" w:type="dxa"/>
            <w:right w:w="108" w:type="dxa"/>
          </w:tblCellMar>
        </w:tblPrEx>
        <w:trPr>
          <w:trHeight w:val="312"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乡镇抗旱水源工程</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11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4.28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1.40 </w:t>
            </w:r>
          </w:p>
        </w:tc>
      </w:tr>
      <w:tr>
        <w:tblPrEx>
          <w:tblLayout w:type="fixed"/>
          <w:tblCellMar>
            <w:top w:w="0" w:type="dxa"/>
            <w:left w:w="108" w:type="dxa"/>
            <w:bottom w:w="0" w:type="dxa"/>
            <w:right w:w="108" w:type="dxa"/>
          </w:tblCellMar>
        </w:tblPrEx>
        <w:trPr>
          <w:trHeight w:val="312"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现代化及生态灌区建设</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12.00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1.00 </w:t>
            </w:r>
          </w:p>
        </w:tc>
      </w:tr>
      <w:tr>
        <w:tblPrEx>
          <w:tblLayout w:type="fixed"/>
          <w:tblCellMar>
            <w:top w:w="0" w:type="dxa"/>
            <w:left w:w="108" w:type="dxa"/>
            <w:bottom w:w="0" w:type="dxa"/>
            <w:right w:w="108" w:type="dxa"/>
          </w:tblCellMar>
        </w:tblPrEx>
        <w:trPr>
          <w:trHeight w:val="396"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color w:val="auto"/>
                <w:kern w:val="0"/>
                <w:szCs w:val="24"/>
              </w:rPr>
            </w:pPr>
            <w:r>
              <w:rPr>
                <w:rFonts w:ascii="Times New Roman" w:hAnsi="Times New Roman"/>
                <w:color w:val="auto"/>
                <w:kern w:val="0"/>
                <w:szCs w:val="24"/>
              </w:rPr>
              <w:t>“</w:t>
            </w:r>
            <w:r>
              <w:rPr>
                <w:rFonts w:hint="eastAsia"/>
                <w:color w:val="auto"/>
                <w:kern w:val="0"/>
                <w:szCs w:val="24"/>
              </w:rPr>
              <w:t>十四五</w:t>
            </w:r>
            <w:r>
              <w:rPr>
                <w:rFonts w:ascii="Times New Roman" w:hAnsi="Times New Roman"/>
                <w:color w:val="auto"/>
                <w:kern w:val="0"/>
                <w:szCs w:val="24"/>
              </w:rPr>
              <w:t>”</w:t>
            </w:r>
            <w:r>
              <w:rPr>
                <w:rFonts w:hint="eastAsia"/>
                <w:color w:val="auto"/>
                <w:kern w:val="0"/>
                <w:szCs w:val="24"/>
              </w:rPr>
              <w:t>农村饮水安全巩固提升工程项目</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10.50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10.01 </w:t>
            </w:r>
          </w:p>
        </w:tc>
      </w:tr>
      <w:tr>
        <w:tblPrEx>
          <w:tblLayout w:type="fixed"/>
          <w:tblCellMar>
            <w:top w:w="0" w:type="dxa"/>
            <w:left w:w="108" w:type="dxa"/>
            <w:bottom w:w="0" w:type="dxa"/>
            <w:right w:w="108" w:type="dxa"/>
          </w:tblCellMar>
        </w:tblPrEx>
        <w:trPr>
          <w:trHeight w:val="312"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kern w:val="0"/>
                <w:szCs w:val="24"/>
              </w:rPr>
            </w:pPr>
            <w:r>
              <w:rPr>
                <w:rFonts w:hint="eastAsia"/>
                <w:kern w:val="0"/>
                <w:szCs w:val="24"/>
              </w:rPr>
              <w:t>水库清淤增效工程项目</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25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2.20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1.11 </w:t>
            </w:r>
          </w:p>
        </w:tc>
      </w:tr>
      <w:tr>
        <w:tblPrEx>
          <w:tblLayout w:type="fixed"/>
          <w:tblCellMar>
            <w:top w:w="0" w:type="dxa"/>
            <w:left w:w="108" w:type="dxa"/>
            <w:bottom w:w="0" w:type="dxa"/>
            <w:right w:w="108" w:type="dxa"/>
          </w:tblCellMar>
        </w:tblPrEx>
        <w:trPr>
          <w:trHeight w:val="312"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小计</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56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63.13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22.84 </w:t>
            </w:r>
          </w:p>
        </w:tc>
      </w:tr>
      <w:tr>
        <w:tblPrEx>
          <w:tblLayout w:type="fixed"/>
          <w:tblCellMar>
            <w:top w:w="0" w:type="dxa"/>
            <w:left w:w="108" w:type="dxa"/>
            <w:bottom w:w="0" w:type="dxa"/>
            <w:right w:w="108" w:type="dxa"/>
          </w:tblCellMar>
        </w:tblPrEx>
        <w:trPr>
          <w:trHeight w:val="312" w:hRule="atLeast"/>
        </w:trPr>
        <w:tc>
          <w:tcPr>
            <w:tcW w:w="91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水生态类</w:t>
            </w:r>
          </w:p>
        </w:tc>
        <w:tc>
          <w:tcPr>
            <w:tcW w:w="397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4"/>
              </w:rPr>
            </w:pPr>
            <w:r>
              <w:rPr>
                <w:rFonts w:hint="eastAsia" w:cs="宋体"/>
                <w:kern w:val="0"/>
                <w:szCs w:val="24"/>
              </w:rPr>
              <w:t>水源涵养与水土保持项目</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6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1.51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0.25 </w:t>
            </w:r>
          </w:p>
        </w:tc>
      </w:tr>
      <w:tr>
        <w:tblPrEx>
          <w:tblLayout w:type="fixed"/>
          <w:tblCellMar>
            <w:top w:w="0" w:type="dxa"/>
            <w:left w:w="108" w:type="dxa"/>
            <w:bottom w:w="0" w:type="dxa"/>
            <w:right w:w="108" w:type="dxa"/>
          </w:tblCellMar>
        </w:tblPrEx>
        <w:trPr>
          <w:trHeight w:val="300"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hint="eastAsia"/>
                <w:kern w:val="0"/>
                <w:szCs w:val="24"/>
              </w:rPr>
              <w:t>重点河湖生态治理与修复</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6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16.28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2.08 </w:t>
            </w:r>
          </w:p>
        </w:tc>
      </w:tr>
      <w:tr>
        <w:tblPrEx>
          <w:tblLayout w:type="fixed"/>
          <w:tblCellMar>
            <w:top w:w="0" w:type="dxa"/>
            <w:left w:w="108" w:type="dxa"/>
            <w:bottom w:w="0" w:type="dxa"/>
            <w:right w:w="108" w:type="dxa"/>
          </w:tblCellMar>
        </w:tblPrEx>
        <w:trPr>
          <w:trHeight w:val="300"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auto"/>
                <w:kern w:val="0"/>
                <w:szCs w:val="24"/>
              </w:rPr>
            </w:pPr>
            <w:r>
              <w:rPr>
                <w:rFonts w:hint="eastAsia"/>
                <w:color w:val="auto"/>
                <w:kern w:val="0"/>
                <w:szCs w:val="24"/>
              </w:rPr>
              <w:t>水系连通及农村水系综合整治</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5.16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1.60 </w:t>
            </w:r>
          </w:p>
        </w:tc>
      </w:tr>
      <w:tr>
        <w:tblPrEx>
          <w:tblLayout w:type="fixed"/>
          <w:tblCellMar>
            <w:top w:w="0" w:type="dxa"/>
            <w:left w:w="108" w:type="dxa"/>
            <w:bottom w:w="0" w:type="dxa"/>
            <w:right w:w="108" w:type="dxa"/>
          </w:tblCellMar>
        </w:tblPrEx>
        <w:trPr>
          <w:trHeight w:val="300"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auto"/>
                <w:kern w:val="0"/>
                <w:szCs w:val="24"/>
              </w:rPr>
            </w:pPr>
            <w:r>
              <w:rPr>
                <w:rFonts w:hint="eastAsia" w:cs="宋体"/>
                <w:color w:val="auto"/>
                <w:kern w:val="0"/>
                <w:szCs w:val="24"/>
              </w:rPr>
              <w:t>其他水生态修复</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1.80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1.80 </w:t>
            </w:r>
          </w:p>
        </w:tc>
      </w:tr>
      <w:tr>
        <w:tblPrEx>
          <w:tblLayout w:type="fixed"/>
          <w:tblCellMar>
            <w:top w:w="0" w:type="dxa"/>
            <w:left w:w="108" w:type="dxa"/>
            <w:bottom w:w="0" w:type="dxa"/>
            <w:right w:w="108" w:type="dxa"/>
          </w:tblCellMar>
        </w:tblPrEx>
        <w:trPr>
          <w:trHeight w:val="300"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小计</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14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24.75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5.73 </w:t>
            </w:r>
          </w:p>
        </w:tc>
      </w:tr>
      <w:tr>
        <w:tblPrEx>
          <w:tblLayout w:type="fixed"/>
          <w:tblCellMar>
            <w:top w:w="0" w:type="dxa"/>
            <w:left w:w="108" w:type="dxa"/>
            <w:bottom w:w="0" w:type="dxa"/>
            <w:right w:w="108" w:type="dxa"/>
          </w:tblCellMar>
        </w:tblPrEx>
        <w:trPr>
          <w:trHeight w:val="312" w:hRule="atLeast"/>
        </w:trPr>
        <w:tc>
          <w:tcPr>
            <w:tcW w:w="91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智慧水利类</w:t>
            </w:r>
          </w:p>
        </w:tc>
        <w:tc>
          <w:tcPr>
            <w:tcW w:w="3973"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4"/>
              </w:rPr>
            </w:pPr>
            <w:r>
              <w:rPr>
                <w:rFonts w:hint="eastAsia" w:cs="宋体"/>
                <w:kern w:val="0"/>
                <w:szCs w:val="24"/>
              </w:rPr>
              <w:t>水利信息化（含新基建）</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4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3.36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0.65 </w:t>
            </w:r>
          </w:p>
        </w:tc>
      </w:tr>
      <w:tr>
        <w:tblPrEx>
          <w:tblLayout w:type="fixed"/>
          <w:tblCellMar>
            <w:top w:w="0" w:type="dxa"/>
            <w:left w:w="108" w:type="dxa"/>
            <w:bottom w:w="0" w:type="dxa"/>
            <w:right w:w="108" w:type="dxa"/>
          </w:tblCellMar>
        </w:tblPrEx>
        <w:trPr>
          <w:trHeight w:val="312"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noWrap/>
            <w:vAlign w:val="center"/>
          </w:tcPr>
          <w:p>
            <w:pPr>
              <w:widowControl/>
              <w:jc w:val="center"/>
              <w:rPr>
                <w:rFonts w:cs="宋体"/>
                <w:color w:val="auto"/>
                <w:kern w:val="0"/>
                <w:szCs w:val="24"/>
              </w:rPr>
            </w:pPr>
            <w:r>
              <w:rPr>
                <w:rFonts w:hint="eastAsia" w:cs="宋体"/>
                <w:color w:val="auto"/>
                <w:kern w:val="0"/>
                <w:szCs w:val="24"/>
              </w:rPr>
              <w:t>信息化建设设施</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0.81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0.31 </w:t>
            </w:r>
          </w:p>
        </w:tc>
      </w:tr>
      <w:tr>
        <w:tblPrEx>
          <w:tblLayout w:type="fixed"/>
          <w:tblCellMar>
            <w:top w:w="0" w:type="dxa"/>
            <w:left w:w="108" w:type="dxa"/>
            <w:bottom w:w="0" w:type="dxa"/>
            <w:right w:w="108" w:type="dxa"/>
          </w:tblCellMar>
        </w:tblPrEx>
        <w:trPr>
          <w:trHeight w:val="312" w:hRule="atLeast"/>
        </w:trPr>
        <w:tc>
          <w:tcPr>
            <w:tcW w:w="9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kern w:val="0"/>
                <w:szCs w:val="24"/>
              </w:rPr>
            </w:pPr>
          </w:p>
        </w:tc>
        <w:tc>
          <w:tcPr>
            <w:tcW w:w="39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小计</w:t>
            </w:r>
          </w:p>
        </w:tc>
        <w:tc>
          <w:tcPr>
            <w:tcW w:w="133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5 </w:t>
            </w:r>
          </w:p>
        </w:tc>
        <w:tc>
          <w:tcPr>
            <w:tcW w:w="131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4.17 </w:t>
            </w:r>
          </w:p>
        </w:tc>
        <w:tc>
          <w:tcPr>
            <w:tcW w:w="1755" w:type="dxa"/>
            <w:tcBorders>
              <w:top w:val="nil"/>
              <w:left w:val="nil"/>
              <w:bottom w:val="single" w:color="auto" w:sz="4"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0.96 </w:t>
            </w:r>
          </w:p>
        </w:tc>
      </w:tr>
      <w:tr>
        <w:tblPrEx>
          <w:tblLayout w:type="fixed"/>
          <w:tblCellMar>
            <w:top w:w="0" w:type="dxa"/>
            <w:left w:w="108" w:type="dxa"/>
            <w:bottom w:w="0" w:type="dxa"/>
            <w:right w:w="108" w:type="dxa"/>
          </w:tblCellMar>
        </w:tblPrEx>
        <w:trPr>
          <w:trHeight w:val="324" w:hRule="atLeast"/>
        </w:trPr>
        <w:tc>
          <w:tcPr>
            <w:tcW w:w="4886" w:type="dxa"/>
            <w:gridSpan w:val="2"/>
            <w:tcBorders>
              <w:top w:val="single" w:color="auto" w:sz="4" w:space="0"/>
              <w:left w:val="single" w:color="auto" w:sz="4" w:space="0"/>
              <w:bottom w:val="single" w:color="auto" w:sz="8" w:space="0"/>
              <w:right w:val="single" w:color="auto" w:sz="4" w:space="0"/>
            </w:tcBorders>
            <w:shd w:val="clear" w:color="auto" w:fill="auto"/>
            <w:vAlign w:val="center"/>
          </w:tcPr>
          <w:p>
            <w:pPr>
              <w:widowControl/>
              <w:jc w:val="center"/>
              <w:rPr>
                <w:rFonts w:ascii="Times New Roman" w:hAnsi="Times New Roman"/>
                <w:kern w:val="0"/>
                <w:szCs w:val="24"/>
              </w:rPr>
            </w:pPr>
            <w:r>
              <w:rPr>
                <w:rFonts w:hint="eastAsia"/>
                <w:kern w:val="0"/>
                <w:szCs w:val="24"/>
              </w:rPr>
              <w:t>总计</w:t>
            </w:r>
          </w:p>
        </w:tc>
        <w:tc>
          <w:tcPr>
            <w:tcW w:w="1333" w:type="dxa"/>
            <w:tcBorders>
              <w:top w:val="nil"/>
              <w:left w:val="nil"/>
              <w:bottom w:val="single" w:color="auto" w:sz="8"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112 </w:t>
            </w:r>
          </w:p>
        </w:tc>
        <w:tc>
          <w:tcPr>
            <w:tcW w:w="1312" w:type="dxa"/>
            <w:tcBorders>
              <w:top w:val="nil"/>
              <w:left w:val="nil"/>
              <w:bottom w:val="single" w:color="auto" w:sz="8" w:space="0"/>
              <w:right w:val="single" w:color="auto" w:sz="4"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101.04 </w:t>
            </w:r>
          </w:p>
        </w:tc>
        <w:tc>
          <w:tcPr>
            <w:tcW w:w="1755"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kern w:val="0"/>
                <w:szCs w:val="24"/>
              </w:rPr>
            </w:pPr>
            <w:r>
              <w:rPr>
                <w:rFonts w:ascii="Times New Roman" w:hAnsi="Times New Roman"/>
                <w:kern w:val="0"/>
                <w:szCs w:val="24"/>
              </w:rPr>
              <w:t xml:space="preserve">33.13 </w:t>
            </w:r>
          </w:p>
        </w:tc>
      </w:tr>
    </w:tbl>
    <w:p>
      <w:pPr>
        <w:numPr>
          <w:ilvl w:val="1"/>
          <w:numId w:val="1"/>
        </w:numPr>
        <w:spacing w:before="300" w:line="360" w:lineRule="auto"/>
        <w:jc w:val="left"/>
        <w:outlineLvl w:val="1"/>
        <w:rPr>
          <w:rFonts w:ascii="Times New Roman" w:hAnsi="Times New Roman" w:eastAsia="黑体"/>
          <w:color w:val="auto"/>
          <w:sz w:val="30"/>
          <w:szCs w:val="32"/>
        </w:rPr>
      </w:pPr>
      <w:bookmarkStart w:id="121" w:name="_Toc62461353"/>
      <w:bookmarkStart w:id="122" w:name="_Toc43754909"/>
      <w:r>
        <w:rPr>
          <w:rFonts w:ascii="Times New Roman" w:hAnsi="Times New Roman" w:eastAsia="黑体"/>
          <w:color w:val="auto"/>
          <w:sz w:val="30"/>
          <w:szCs w:val="32"/>
        </w:rPr>
        <w:t>规划效果分析</w:t>
      </w:r>
      <w:bookmarkEnd w:id="121"/>
      <w:bookmarkEnd w:id="122"/>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规划实施后，可提高勐海县用水效率，促进节水型社会建设，又可增强全县供水能力，提高城镇供水安全、城乡饮水安全、水生态环境安全的保障程度，降低特殊干旱情况下的供水风险，保护或改善河湖的生态环境，促进人水和谐发展，促进经济社会的可持续发展，大大提高勐海县水资源与水环境承载能力，经济、社会和生态等综合效益十分显著。</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（1）经济效益</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规划以水资源可持续利用支撑经济社会可持续发展为主线，通过合理匹配需求、有效增加供水、积极保护生态环境等手段和措施，可保障未来经济社会持续稳定发展对水资源的需求，促进社会又好又快发展。争取在“十四五”末实现经济总量翻一翻，真正做到率先跨越式发展，“十四五”水安全保障规划项目的顺利实施可保障经济社会快速发展的供水安全。</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（2）社会效益</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规划实施后，可显著提高勐海县城乡饮水安全保障程度，有效解决现状农村的饮水不安全问题，提高人民群众生活用水质量，改善民众健康状况，提高生活水平；可显著提高粮食安全保障程度，促进乡村振兴；可显著提高城镇供水安全保障程度，促进城镇经济社会的协调发展；改善城乡生活环境，促进和谐社会建设。规划的实施，对保障流域经济发展和社会稳定将发挥重要作用。</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（3）生态效益</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十四五”规划的实施对于恢复勐海县城乡河道功能，恢复水库（塘坝）蓄水功能，改善中小河流水环境状况将发挥重大作用。规划实施后，河道内、河道外环境需水保障程度大大提高，水土流失区域的水土流失现状得到有效改善，小流域及农村生态环境现状得到明显改善，人居环境得到大幅度提升。</w:t>
      </w:r>
    </w:p>
    <w:p>
      <w:pPr>
        <w:pageBreakBefore/>
        <w:numPr>
          <w:ilvl w:val="0"/>
          <w:numId w:val="1"/>
        </w:numPr>
        <w:spacing w:before="400" w:line="360" w:lineRule="auto"/>
        <w:jc w:val="left"/>
        <w:outlineLvl w:val="0"/>
        <w:rPr>
          <w:rFonts w:ascii="Times New Roman" w:hAnsi="Times New Roman" w:eastAsia="黑体"/>
          <w:color w:val="auto"/>
          <w:kern w:val="44"/>
          <w:sz w:val="32"/>
          <w:szCs w:val="36"/>
        </w:rPr>
      </w:pPr>
      <w:bookmarkStart w:id="123" w:name="_Toc43754910"/>
      <w:bookmarkStart w:id="124" w:name="_Toc62461354"/>
      <w:r>
        <w:rPr>
          <w:rFonts w:ascii="Times New Roman" w:hAnsi="Times New Roman" w:eastAsia="黑体"/>
          <w:color w:val="auto"/>
          <w:kern w:val="44"/>
          <w:sz w:val="32"/>
          <w:szCs w:val="36"/>
        </w:rPr>
        <w:t>风险评估</w:t>
      </w:r>
      <w:bookmarkEnd w:id="123"/>
      <w:bookmarkEnd w:id="124"/>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为有效规避、预防、控制规划实施过程中可能产生的风险，根据《云南省重大行政决策程序规定》（云南省人民政府令第200号），对《规划》决策事项可能存在的社会稳定、生态环境、社会效益、法律纠纷、财政金融和公共安全等方面进行风险评估，并提出相应应对措施。</w:t>
      </w:r>
    </w:p>
    <w:p>
      <w:pPr>
        <w:numPr>
          <w:ilvl w:val="1"/>
          <w:numId w:val="1"/>
        </w:numPr>
        <w:spacing w:before="300" w:line="360" w:lineRule="auto"/>
        <w:jc w:val="left"/>
        <w:outlineLvl w:val="1"/>
        <w:rPr>
          <w:rFonts w:ascii="Times New Roman" w:hAnsi="Times New Roman" w:eastAsia="黑体"/>
          <w:color w:val="auto"/>
          <w:sz w:val="30"/>
          <w:szCs w:val="32"/>
        </w:rPr>
      </w:pPr>
      <w:bookmarkStart w:id="125" w:name="_Toc462428464"/>
      <w:bookmarkStart w:id="126" w:name="_Toc43754911"/>
      <w:bookmarkStart w:id="127" w:name="_Toc62461355"/>
      <w:r>
        <w:rPr>
          <w:rFonts w:ascii="Times New Roman" w:hAnsi="Times New Roman" w:eastAsia="黑体"/>
          <w:color w:val="auto"/>
          <w:sz w:val="30"/>
          <w:szCs w:val="32"/>
        </w:rPr>
        <w:t>风险因素</w:t>
      </w:r>
      <w:bookmarkEnd w:id="125"/>
      <w:bookmarkEnd w:id="126"/>
      <w:bookmarkEnd w:id="127"/>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（1）社会稳定风险</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“十四五”期间续建中型水库1件</w:t>
      </w:r>
      <w:r>
        <w:rPr>
          <w:rFonts w:hint="eastAsia" w:ascii="Times New Roman" w:hAnsi="Times New Roman" w:eastAsia="仿宋_GB2312"/>
          <w:color w:val="auto"/>
          <w:spacing w:val="4"/>
          <w:sz w:val="28"/>
          <w:szCs w:val="28"/>
        </w:rPr>
        <w:t>（曼桂水库）</w:t>
      </w:r>
      <w:r>
        <w:rPr>
          <w:rFonts w:ascii="Times New Roman" w:hAnsi="Times New Roman" w:eastAsia="仿宋_GB2312"/>
          <w:color w:val="auto"/>
          <w:spacing w:val="4"/>
          <w:sz w:val="28"/>
          <w:szCs w:val="28"/>
        </w:rPr>
        <w:t>、小（一）</w:t>
      </w:r>
      <w:r>
        <w:rPr>
          <w:rFonts w:hint="eastAsia" w:ascii="Times New Roman" w:hAnsi="Times New Roman" w:eastAsia="仿宋_GB2312"/>
          <w:color w:val="auto"/>
          <w:spacing w:val="4"/>
          <w:sz w:val="28"/>
          <w:szCs w:val="28"/>
        </w:rPr>
        <w:t>型水库1件（曼彦水库），</w:t>
      </w:r>
      <w:r>
        <w:rPr>
          <w:rFonts w:ascii="Times New Roman" w:hAnsi="Times New Roman" w:eastAsia="仿宋_GB2312"/>
          <w:color w:val="auto"/>
          <w:spacing w:val="4"/>
          <w:sz w:val="28"/>
          <w:szCs w:val="28"/>
        </w:rPr>
        <w:t>规划新建中型水库</w:t>
      </w:r>
      <w:r>
        <w:rPr>
          <w:rFonts w:hint="eastAsia" w:ascii="Times New Roman" w:hAnsi="Times New Roman" w:eastAsia="仿宋_GB2312"/>
          <w:color w:val="auto"/>
          <w:spacing w:val="4"/>
          <w:sz w:val="28"/>
          <w:szCs w:val="28"/>
        </w:rPr>
        <w:t>2</w:t>
      </w:r>
      <w:r>
        <w:rPr>
          <w:rFonts w:ascii="Times New Roman" w:hAnsi="Times New Roman" w:eastAsia="仿宋_GB2312"/>
          <w:color w:val="auto"/>
          <w:spacing w:val="4"/>
          <w:sz w:val="28"/>
          <w:szCs w:val="28"/>
        </w:rPr>
        <w:t>件</w:t>
      </w:r>
      <w:r>
        <w:rPr>
          <w:rFonts w:hint="eastAsia" w:ascii="Times New Roman" w:hAnsi="Times New Roman" w:eastAsia="仿宋_GB2312"/>
          <w:color w:val="auto"/>
          <w:spacing w:val="4"/>
          <w:sz w:val="28"/>
          <w:szCs w:val="28"/>
        </w:rPr>
        <w:t>（勐阿水库、</w:t>
      </w:r>
      <w:r>
        <w:rPr>
          <w:rFonts w:hint="eastAsia" w:ascii="Times New Roman" w:hAnsi="Times New Roman" w:eastAsia="仿宋_GB2312"/>
          <w:color w:val="auto"/>
          <w:spacing w:val="4"/>
          <w:sz w:val="28"/>
          <w:szCs w:val="28"/>
          <w:lang w:eastAsia="zh-CN"/>
        </w:rPr>
        <w:t>章朗</w:t>
      </w:r>
      <w:r>
        <w:rPr>
          <w:rFonts w:hint="eastAsia" w:ascii="Times New Roman" w:hAnsi="Times New Roman" w:eastAsia="仿宋_GB2312"/>
          <w:color w:val="auto"/>
          <w:spacing w:val="4"/>
          <w:sz w:val="28"/>
          <w:szCs w:val="28"/>
        </w:rPr>
        <w:t>水库）</w:t>
      </w:r>
      <w:r>
        <w:rPr>
          <w:rFonts w:ascii="Times New Roman" w:hAnsi="Times New Roman" w:eastAsia="仿宋_GB2312"/>
          <w:color w:val="auto"/>
          <w:spacing w:val="4"/>
          <w:sz w:val="28"/>
          <w:szCs w:val="28"/>
        </w:rPr>
        <w:t>，小（一）型水库</w:t>
      </w:r>
      <w:r>
        <w:rPr>
          <w:rFonts w:hint="eastAsia" w:ascii="Times New Roman" w:hAnsi="Times New Roman" w:eastAsia="仿宋_GB2312"/>
          <w:color w:val="auto"/>
          <w:spacing w:val="4"/>
          <w:sz w:val="28"/>
          <w:szCs w:val="28"/>
        </w:rPr>
        <w:t>2</w:t>
      </w:r>
      <w:r>
        <w:rPr>
          <w:rFonts w:ascii="Times New Roman" w:hAnsi="Times New Roman" w:eastAsia="仿宋_GB2312"/>
          <w:color w:val="auto"/>
          <w:spacing w:val="4"/>
          <w:sz w:val="28"/>
          <w:szCs w:val="28"/>
        </w:rPr>
        <w:t>件</w:t>
      </w:r>
      <w:r>
        <w:rPr>
          <w:rFonts w:hint="eastAsia" w:ascii="Times New Roman" w:hAnsi="Times New Roman" w:eastAsia="仿宋_GB2312"/>
          <w:color w:val="auto"/>
          <w:spacing w:val="4"/>
          <w:sz w:val="28"/>
          <w:szCs w:val="28"/>
        </w:rPr>
        <w:t>（曼彦水库、布朗山水库）</w:t>
      </w:r>
      <w:r>
        <w:rPr>
          <w:rFonts w:ascii="Times New Roman" w:hAnsi="Times New Roman" w:eastAsia="仿宋_GB2312"/>
          <w:color w:val="auto"/>
          <w:spacing w:val="4"/>
          <w:sz w:val="28"/>
          <w:szCs w:val="28"/>
        </w:rPr>
        <w:t>，预计永久征收耕园地</w:t>
      </w:r>
      <w:r>
        <w:rPr>
          <w:rFonts w:hint="eastAsia" w:ascii="Times New Roman" w:hAnsi="Times New Roman" w:eastAsia="仿宋_GB2312"/>
          <w:color w:val="auto"/>
          <w:spacing w:val="4"/>
          <w:sz w:val="28"/>
          <w:szCs w:val="28"/>
        </w:rPr>
        <w:t>1840.78</w:t>
      </w:r>
      <w:r>
        <w:rPr>
          <w:rFonts w:ascii="Times New Roman" w:hAnsi="Times New Roman" w:eastAsia="仿宋_GB2312"/>
          <w:color w:val="auto"/>
          <w:spacing w:val="4"/>
          <w:sz w:val="28"/>
          <w:szCs w:val="28"/>
        </w:rPr>
        <w:t>亩，搬迁</w:t>
      </w:r>
      <w:commentRangeStart w:id="37"/>
      <w:r>
        <w:rPr>
          <w:rFonts w:hint="eastAsia" w:ascii="Times New Roman" w:hAnsi="Times New Roman" w:eastAsia="仿宋_GB2312"/>
          <w:color w:val="auto"/>
          <w:spacing w:val="4"/>
          <w:sz w:val="28"/>
          <w:szCs w:val="28"/>
        </w:rPr>
        <w:t>398</w:t>
      </w:r>
      <w:commentRangeEnd w:id="37"/>
      <w:r>
        <w:rPr>
          <w:rStyle w:val="39"/>
        </w:rPr>
        <w:commentReference w:id="37"/>
      </w:r>
      <w:r>
        <w:rPr>
          <w:rFonts w:ascii="Times New Roman" w:hAnsi="Times New Roman" w:eastAsia="仿宋_GB2312"/>
          <w:color w:val="auto"/>
          <w:spacing w:val="4"/>
          <w:sz w:val="28"/>
          <w:szCs w:val="28"/>
        </w:rPr>
        <w:t>人。征地搬迁涉及人民群众的切身利益，对人民群众的财产权益和生存发展具有较大影响，处理不当容易引发群体上访、集会、阻挠施工等社会不稳定事件。</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（2）生态环境风险</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部分工程建设将在一定程度上改变陆域水循环过程、河湖水文情势及水生态环境。工程蓄水可能产生滑坡塌岸，诱发水库地震，并可能对自然景观和文物、水生生物栖息繁衍环境、生物多样性等产生影响。</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（3）法律纠纷风险</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《规划》项目建设涉及地方政府、设计单位、施工单位、监理单位、用水主体等多个利益相关方和多方合同合作关系，涉及重大利益调整和风险分担，任何环节处理不当，容易发生法律纠纷。</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（4）财政金融风险</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“十四五”期间勐海水安全保障规划投资</w:t>
      </w:r>
      <w:r>
        <w:rPr>
          <w:rFonts w:hint="eastAsia" w:ascii="Times New Roman" w:hAnsi="Times New Roman" w:eastAsia="仿宋_GB2312"/>
          <w:color w:val="auto"/>
          <w:spacing w:val="4"/>
          <w:sz w:val="28"/>
          <w:szCs w:val="28"/>
        </w:rPr>
        <w:t>57.96</w:t>
      </w:r>
      <w:r>
        <w:rPr>
          <w:rFonts w:ascii="Times New Roman" w:hAnsi="Times New Roman" w:eastAsia="仿宋_GB2312"/>
          <w:color w:val="auto"/>
          <w:spacing w:val="4"/>
          <w:sz w:val="28"/>
          <w:szCs w:val="28"/>
        </w:rPr>
        <w:t>亿元，投资规模较大。水利建设项目以公益性和准公益性为主，投资周期长且经济收益低，加重了政府财政负担，容易出现举债过高产生财政金融风险。</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（5）公共安全风险</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规划新建的水库如果汛期洪水调度不当，或大坝安全出现问题，可能引发洪水灾害，威胁下游人民群众的生命和财产安全。规划项目中，部分新建工程具有城乡生活供水任务，如果供水水质出现问题，可能威胁居民身体健康。</w:t>
      </w:r>
    </w:p>
    <w:p>
      <w:pPr>
        <w:numPr>
          <w:ilvl w:val="1"/>
          <w:numId w:val="1"/>
        </w:numPr>
        <w:spacing w:before="300" w:line="360" w:lineRule="auto"/>
        <w:jc w:val="left"/>
        <w:outlineLvl w:val="1"/>
        <w:rPr>
          <w:rFonts w:ascii="Times New Roman" w:hAnsi="Times New Roman" w:eastAsia="黑体"/>
          <w:color w:val="auto"/>
          <w:sz w:val="30"/>
          <w:szCs w:val="32"/>
        </w:rPr>
      </w:pPr>
      <w:bookmarkStart w:id="128" w:name="_Toc462428465"/>
      <w:bookmarkStart w:id="129" w:name="_Toc43754912"/>
      <w:bookmarkStart w:id="130" w:name="_Toc62461356"/>
      <w:r>
        <w:rPr>
          <w:rFonts w:ascii="Times New Roman" w:hAnsi="Times New Roman" w:eastAsia="黑体"/>
          <w:color w:val="auto"/>
          <w:sz w:val="30"/>
          <w:szCs w:val="32"/>
        </w:rPr>
        <w:t>风险应对措施</w:t>
      </w:r>
      <w:bookmarkEnd w:id="128"/>
      <w:bookmarkEnd w:id="129"/>
      <w:bookmarkEnd w:id="130"/>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（1）社会稳定风险应对措施</w:t>
      </w:r>
    </w:p>
    <w:p>
      <w:pPr>
        <w:spacing w:line="560" w:lineRule="exact"/>
        <w:ind w:firstLine="576" w:firstLineChars="200"/>
        <w:rPr>
          <w:rFonts w:ascii="Times New Roman" w:hAnsi="Times New Roman" w:eastAsia="仿宋_GB2312"/>
          <w:b/>
          <w:color w:val="auto"/>
          <w:spacing w:val="4"/>
          <w:sz w:val="28"/>
          <w:szCs w:val="28"/>
        </w:rPr>
      </w:pPr>
      <w:r>
        <w:rPr>
          <w:rFonts w:ascii="Times New Roman" w:hAnsi="Times New Roman" w:eastAsia="仿宋_GB2312"/>
          <w:color w:val="auto"/>
          <w:spacing w:val="4"/>
          <w:sz w:val="28"/>
          <w:szCs w:val="28"/>
        </w:rPr>
        <w:t>强化项目前期工作，科学论证，合理设计，控制征地移民影响规模，从源头上减少社会稳定风险。强化征地移民前期工作，深入调查，充分征求移民群众意愿，科学合理地编制建设征地移民安置规划。严格落实建设征地补偿和移民安置社会稳定风险评估制度，充分排查风险因素，科学评估风险等级，强化评估结论应用。建立风险监测和预警机制，及时掌握移民风险动向，做到“早发现、早处置”。</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（2）生态环境风险应对措施</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坚持绿色发展理念，水资源开发利用要保障河流的基本生态环境用水要求，逐步退还挤占的河道内生态环境用水。在工程前期论证阶段要优化工程设计，从源头上减少工程建设的不利环境影响。依法加强规划、建设项目环境影响评价和水土保持等前期工作，提出具体可行的环境影响控制措施和水土保持方案。严格落实“三同时”管理制度，加强建设、管理过程的环境影响监测和环境保护监管。</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（3）法律纠纷风险应对措施</w:t>
      </w:r>
    </w:p>
    <w:p>
      <w:pPr>
        <w:spacing w:line="560" w:lineRule="exact"/>
        <w:ind w:firstLine="576" w:firstLineChars="200"/>
        <w:rPr>
          <w:rFonts w:ascii="Times New Roman" w:hAnsi="Times New Roman" w:eastAsia="仿宋_GB2312"/>
          <w:b/>
          <w:color w:val="auto"/>
          <w:spacing w:val="4"/>
          <w:sz w:val="28"/>
          <w:szCs w:val="28"/>
        </w:rPr>
      </w:pPr>
      <w:r>
        <w:rPr>
          <w:rFonts w:ascii="Times New Roman" w:hAnsi="Times New Roman" w:eastAsia="仿宋_GB2312"/>
          <w:color w:val="auto"/>
          <w:spacing w:val="4"/>
          <w:sz w:val="28"/>
          <w:szCs w:val="28"/>
        </w:rPr>
        <w:t>强化各部门的法律意识，维护政府信用。严格执行项目“五制”建设、落实项目单位六项管理制度。通过签订合同等形式，规范合作行为，完善合同约定事项，明确界定合同双方的责权利关系、违约处理、争议解决等内容，提前预防法律纠纷风险。</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（4）财政金融风险应对措施</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创新水利投融资体制，积极引入社会资本，鼓励社会资本参与水利工程建设和运营。统筹城乡供水，实行水源工程、供水排水、污水处理、中水回用等一体化建设运营。建立规模控制、预算管理和风险预警制度，全面动态监控地方政府债务情况，及时应对和处理。</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（5）公共安全风险应对措施</w:t>
      </w:r>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重视专家论证意见，把好设计技术评审关。加强汛期水库运行管理，严格依据汛期调度方案进行水库洪水调度。强化大坝安全监测，实时监控大坝安全。建立健全饮用水水源水质监测制度，实时监测源头水质。制定饮用水水源地保护规划，从源头上消除水质安全问题。</w:t>
      </w:r>
    </w:p>
    <w:p>
      <w:pPr>
        <w:numPr>
          <w:ilvl w:val="1"/>
          <w:numId w:val="1"/>
        </w:numPr>
        <w:spacing w:before="300" w:line="360" w:lineRule="auto"/>
        <w:jc w:val="left"/>
        <w:outlineLvl w:val="1"/>
        <w:rPr>
          <w:rFonts w:ascii="Times New Roman" w:hAnsi="Times New Roman" w:eastAsia="黑体"/>
          <w:color w:val="auto"/>
          <w:sz w:val="30"/>
          <w:szCs w:val="32"/>
        </w:rPr>
      </w:pPr>
      <w:bookmarkStart w:id="131" w:name="_Toc43754913"/>
      <w:bookmarkStart w:id="132" w:name="_Toc62461357"/>
      <w:bookmarkStart w:id="133" w:name="_Toc462428466"/>
      <w:r>
        <w:rPr>
          <w:rFonts w:ascii="Times New Roman" w:hAnsi="Times New Roman" w:eastAsia="黑体"/>
          <w:color w:val="auto"/>
          <w:sz w:val="30"/>
          <w:szCs w:val="32"/>
        </w:rPr>
        <w:t>风险等级</w:t>
      </w:r>
      <w:bookmarkEnd w:id="131"/>
      <w:bookmarkEnd w:id="132"/>
      <w:bookmarkEnd w:id="133"/>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规划》在增强供水安全保障能力、保护重点地区防洪安全、完善农村水利基础设施、改善河湖生态健康、推进水土流失治理等方面具有良好的社会效益。《规划》存在的社会稳定、生态环境、法律纠纷、财政金融和公共安全风险具有可控性。在充分落实前述风险应对措施后，确定本次规划综合风险等级为“低风险”，其中社会稳定风险为“小风险”。</w:t>
      </w:r>
    </w:p>
    <w:p>
      <w:pPr>
        <w:pageBreakBefore/>
        <w:numPr>
          <w:ilvl w:val="0"/>
          <w:numId w:val="1"/>
        </w:numPr>
        <w:spacing w:before="400" w:line="360" w:lineRule="auto"/>
        <w:jc w:val="left"/>
        <w:outlineLvl w:val="0"/>
        <w:rPr>
          <w:rFonts w:ascii="Times New Roman" w:hAnsi="Times New Roman" w:eastAsia="黑体"/>
          <w:color w:val="auto"/>
          <w:kern w:val="44"/>
          <w:sz w:val="32"/>
          <w:szCs w:val="36"/>
        </w:rPr>
      </w:pPr>
      <w:bookmarkStart w:id="134" w:name="_Toc62461358"/>
      <w:bookmarkStart w:id="135" w:name="_Toc43754914"/>
      <w:r>
        <w:rPr>
          <w:rFonts w:ascii="Times New Roman" w:hAnsi="Times New Roman" w:eastAsia="黑体"/>
          <w:color w:val="auto"/>
          <w:kern w:val="44"/>
          <w:sz w:val="32"/>
          <w:szCs w:val="36"/>
        </w:rPr>
        <w:t>保障措施</w:t>
      </w:r>
      <w:bookmarkEnd w:id="134"/>
      <w:bookmarkEnd w:id="135"/>
    </w:p>
    <w:p>
      <w:pPr>
        <w:numPr>
          <w:ilvl w:val="1"/>
          <w:numId w:val="1"/>
        </w:numPr>
        <w:spacing w:before="300" w:line="360" w:lineRule="auto"/>
        <w:jc w:val="left"/>
        <w:outlineLvl w:val="1"/>
        <w:rPr>
          <w:rFonts w:ascii="Times New Roman" w:hAnsi="Times New Roman" w:eastAsia="黑体"/>
          <w:color w:val="auto"/>
          <w:sz w:val="30"/>
          <w:szCs w:val="32"/>
        </w:rPr>
      </w:pPr>
      <w:bookmarkStart w:id="136" w:name="_Toc62461359"/>
      <w:bookmarkStart w:id="137" w:name="_Toc43754915"/>
      <w:r>
        <w:rPr>
          <w:rFonts w:ascii="Times New Roman" w:hAnsi="Times New Roman" w:eastAsia="黑体"/>
          <w:color w:val="auto"/>
          <w:sz w:val="30"/>
          <w:szCs w:val="32"/>
        </w:rPr>
        <w:t>强化组织领导</w:t>
      </w:r>
      <w:bookmarkEnd w:id="136"/>
      <w:bookmarkEnd w:id="137"/>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 xml:space="preserve"> “十四五”水安全保障规划实施对保障全县经济社会可持续发展的重大意义，把加快水利建设摆在突出位置，工作优先部署，投入重点保障，政策明显倾斜。切实加强规划实施组织领导，落实工作责任，把规划确定的主要目标任务纳入勐海县国民经济和社会发展规划和政府目标考核体系，综合运用行政、经济、市场等各种措施加快规划实施。</w:t>
      </w:r>
      <w:r>
        <w:rPr>
          <w:rFonts w:hint="eastAsia" w:ascii="Times New Roman" w:hAnsi="Times New Roman" w:eastAsia="仿宋_GB2312"/>
          <w:color w:val="auto"/>
          <w:spacing w:val="4"/>
          <w:sz w:val="28"/>
          <w:szCs w:val="28"/>
        </w:rPr>
        <w:t>建立以全县水资源综合规划和防洪规划为基础，流域规划和专业规划为支撑的水利规划体系。做好重点水利规划的编制工作，加快规划法治建设。明确规划前期工作的立项、技术评审和咨询论证评估、公众参与、批准、发布、实施后评估等各个环节的程序和要求。使水资源开发、利用、水利工程建设依据规划有序进行。</w:t>
      </w:r>
      <w:r>
        <w:rPr>
          <w:rFonts w:ascii="Times New Roman" w:hAnsi="Times New Roman" w:eastAsia="仿宋_GB2312"/>
          <w:color w:val="auto"/>
          <w:spacing w:val="4"/>
          <w:sz w:val="28"/>
          <w:szCs w:val="28"/>
        </w:rPr>
        <w:t>建立联席会议制度，定期召开会议通报项目建设推进情况，加强沟通协调、跟踪分析、督促检查，对重大事项、重大问题定期会商会办，切实形成工作合力，加快推进项目建设，确保各项任务按期完成。</w:t>
      </w:r>
    </w:p>
    <w:p>
      <w:pPr>
        <w:numPr>
          <w:ilvl w:val="1"/>
          <w:numId w:val="1"/>
        </w:numPr>
        <w:spacing w:before="300" w:line="360" w:lineRule="auto"/>
        <w:jc w:val="left"/>
        <w:outlineLvl w:val="1"/>
        <w:rPr>
          <w:rFonts w:ascii="Times New Roman" w:hAnsi="Times New Roman" w:eastAsia="黑体"/>
          <w:color w:val="auto"/>
          <w:sz w:val="30"/>
          <w:szCs w:val="32"/>
        </w:rPr>
      </w:pPr>
      <w:bookmarkStart w:id="138" w:name="_Toc43754916"/>
      <w:bookmarkStart w:id="139" w:name="_Toc62461360"/>
      <w:r>
        <w:rPr>
          <w:rFonts w:ascii="Times New Roman" w:hAnsi="Times New Roman" w:eastAsia="黑体"/>
          <w:color w:val="auto"/>
          <w:sz w:val="30"/>
          <w:szCs w:val="32"/>
        </w:rPr>
        <w:t>明确工作职责</w:t>
      </w:r>
      <w:bookmarkEnd w:id="138"/>
      <w:bookmarkEnd w:id="139"/>
    </w:p>
    <w:p>
      <w:pPr>
        <w:spacing w:line="560" w:lineRule="exact"/>
        <w:ind w:firstLine="576" w:firstLineChars="200"/>
        <w:rPr>
          <w:rFonts w:ascii="Times New Roman" w:hAnsi="Times New Roman" w:eastAsia="仿宋_GB2312"/>
          <w:color w:val="auto"/>
          <w:spacing w:val="4"/>
          <w:sz w:val="28"/>
          <w:szCs w:val="28"/>
        </w:rPr>
      </w:pPr>
      <w:commentRangeStart w:id="38"/>
      <w:r>
        <w:rPr>
          <w:rFonts w:hint="eastAsia" w:ascii="Times New Roman" w:hAnsi="Times New Roman" w:eastAsia="仿宋_GB2312"/>
          <w:color w:val="auto"/>
          <w:spacing w:val="4"/>
          <w:sz w:val="28"/>
          <w:szCs w:val="28"/>
        </w:rPr>
        <w:t>各乡镇</w:t>
      </w:r>
      <w:commentRangeEnd w:id="38"/>
      <w:r>
        <w:rPr>
          <w:rStyle w:val="39"/>
        </w:rPr>
        <w:commentReference w:id="38"/>
      </w:r>
      <w:r>
        <w:rPr>
          <w:rFonts w:hint="eastAsia" w:ascii="Times New Roman" w:hAnsi="Times New Roman" w:eastAsia="仿宋_GB2312"/>
          <w:color w:val="auto"/>
          <w:spacing w:val="4"/>
          <w:sz w:val="28"/>
          <w:szCs w:val="28"/>
        </w:rPr>
        <w:t>人民政府要把规划提出的发展目标和主要任务的落实情况作为地区经济社会发展综合评价与绩效考核的主要内容。加强对水利建设资金拨付使用全过程的稽查、审计和监督，严格资金管理，切实管好、用好，严禁挤占、挪用和滞留。针对各自的特点及存在的突出问题，制定年度计划，组织力量，安排投资，认真实施。党委、人大、政协等机关把监督规划实施作为重要工作，并纳入干部绩效考核内容。规划实施中，自觉接受公众的监督检查，采取多种形式听取社会公众的意见，充分反映公众意愿。适时开展中期评估，纠偏促好，保障规划的科学性与时效性。“十三五”中期和结束时，应及时对规划实施进行中期评估和后评估。</w:t>
      </w:r>
    </w:p>
    <w:p>
      <w:pPr>
        <w:numPr>
          <w:ilvl w:val="1"/>
          <w:numId w:val="1"/>
        </w:numPr>
        <w:spacing w:before="300" w:line="360" w:lineRule="auto"/>
        <w:jc w:val="left"/>
        <w:outlineLvl w:val="1"/>
        <w:rPr>
          <w:rFonts w:ascii="Times New Roman" w:hAnsi="Times New Roman" w:eastAsia="黑体"/>
          <w:color w:val="auto"/>
          <w:sz w:val="30"/>
          <w:szCs w:val="32"/>
        </w:rPr>
      </w:pPr>
      <w:bookmarkStart w:id="140" w:name="_Toc43754917"/>
      <w:bookmarkStart w:id="141" w:name="_Toc62461361"/>
      <w:r>
        <w:rPr>
          <w:rFonts w:ascii="Times New Roman" w:hAnsi="Times New Roman" w:eastAsia="黑体"/>
          <w:color w:val="auto"/>
          <w:sz w:val="30"/>
          <w:szCs w:val="32"/>
        </w:rPr>
        <w:t>加大资金投入</w:t>
      </w:r>
      <w:bookmarkEnd w:id="140"/>
      <w:bookmarkEnd w:id="141"/>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在积极争取上级政府财政支持的同时，按照中央加大水利投入的重大决策，积极调整财政预算支出结构，大幅度增加县级财政对水利建设的投入，建立健全县级财政投入的长效机制。认真执行国家水利建设基金、行政事业性收费、中央对地方成品油价格、水资源费、水土保持补偿费等资金筹集和使用办法，切实加强征收、使用管理，确保水利建设资金投入渠道稳定。加强对水利建设的金融和税费支持，鼓励政策性银行加大中长期贷款对水利建设的支持力度，财政对政策性贷款给予贴息；积极落实国家各项水利建设税费扶持政策。采取转让、承包、租赁、拍卖、股份合作等形式盘活变现国有水利资产，吸引社会资本，促进水利国有资本滚动发展。鼓励农民自力更生、艰苦奋斗，在统一规划基础上，按照多筹多补、多干多补原则，加大“一事一议”财政奖补力度，充分调动农民兴修农田水利的积极性。</w:t>
      </w:r>
    </w:p>
    <w:p>
      <w:pPr>
        <w:numPr>
          <w:ilvl w:val="1"/>
          <w:numId w:val="1"/>
        </w:numPr>
        <w:spacing w:before="300" w:line="360" w:lineRule="auto"/>
        <w:jc w:val="left"/>
        <w:outlineLvl w:val="1"/>
        <w:rPr>
          <w:rFonts w:ascii="Times New Roman" w:hAnsi="Times New Roman" w:eastAsia="黑体"/>
          <w:color w:val="auto"/>
          <w:sz w:val="30"/>
          <w:szCs w:val="32"/>
        </w:rPr>
      </w:pPr>
      <w:bookmarkStart w:id="142" w:name="_Toc43754918"/>
      <w:bookmarkStart w:id="143" w:name="_Toc62461362"/>
      <w:r>
        <w:rPr>
          <w:rFonts w:ascii="Times New Roman" w:hAnsi="Times New Roman" w:eastAsia="黑体"/>
          <w:color w:val="auto"/>
          <w:sz w:val="30"/>
          <w:szCs w:val="32"/>
        </w:rPr>
        <w:t>加强前期工作</w:t>
      </w:r>
      <w:bookmarkEnd w:id="142"/>
      <w:bookmarkEnd w:id="143"/>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强化水利规划的指导地位，加快开展有关水利建设专项规划的编制。按照统筹兼顾、突出重点、超前部署的原则，加快开展水利项目前期工作，建立开工一批、推进一批、论证一批、储备一批的前期工作良性滚动机制。严格按照国家基本建设程序要求，规范前期工作。加大县级财政对规划项目前期工作的经费保障力度，积极争取上级有关部门对水利项目前期工作的经费支持政策。</w:t>
      </w:r>
    </w:p>
    <w:p>
      <w:pPr>
        <w:numPr>
          <w:ilvl w:val="1"/>
          <w:numId w:val="1"/>
        </w:numPr>
        <w:spacing w:before="300" w:line="360" w:lineRule="auto"/>
        <w:jc w:val="left"/>
        <w:outlineLvl w:val="1"/>
        <w:rPr>
          <w:rFonts w:ascii="Times New Roman" w:hAnsi="Times New Roman" w:eastAsia="黑体"/>
          <w:color w:val="auto"/>
          <w:sz w:val="30"/>
          <w:szCs w:val="32"/>
        </w:rPr>
      </w:pPr>
      <w:bookmarkStart w:id="144" w:name="_Toc62461363"/>
      <w:bookmarkStart w:id="145" w:name="_Toc43754919"/>
      <w:r>
        <w:rPr>
          <w:rFonts w:ascii="Times New Roman" w:hAnsi="Times New Roman" w:eastAsia="黑体"/>
          <w:color w:val="auto"/>
          <w:sz w:val="30"/>
          <w:szCs w:val="32"/>
        </w:rPr>
        <w:t>加强监管考核</w:t>
      </w:r>
      <w:bookmarkEnd w:id="144"/>
      <w:bookmarkEnd w:id="145"/>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严格执行建设项目法人责任制、招标投标制、建设监理制、合同管理制。强化项目资金监管，着力加强廉洁水利建设，树立“廉政水利”形象。勐海县人民政府对水利资金落实情况负总责，加强对水利建设资金落实和安排使用情况的监督检查。各部门要按照各自职责加强对水利建设项目资金申报、分配、拨付、使用全过程的监督、审计和稽查，严禁骗取、套取、截留、挪用资金；项目单位（部门）要严格按照相关规定，切实管好、用好水利建设资金。</w:t>
      </w:r>
    </w:p>
    <w:p>
      <w:pPr>
        <w:numPr>
          <w:ilvl w:val="1"/>
          <w:numId w:val="1"/>
        </w:numPr>
        <w:spacing w:before="300" w:line="360" w:lineRule="auto"/>
        <w:jc w:val="left"/>
        <w:outlineLvl w:val="1"/>
        <w:rPr>
          <w:rFonts w:ascii="Times New Roman" w:hAnsi="Times New Roman" w:eastAsia="黑体"/>
          <w:color w:val="auto"/>
          <w:sz w:val="30"/>
          <w:szCs w:val="32"/>
        </w:rPr>
      </w:pPr>
      <w:bookmarkStart w:id="146" w:name="_Toc62461364"/>
      <w:bookmarkStart w:id="147" w:name="_Toc43754920"/>
      <w:r>
        <w:rPr>
          <w:rFonts w:ascii="Times New Roman" w:hAnsi="Times New Roman" w:eastAsia="黑体"/>
          <w:color w:val="auto"/>
          <w:sz w:val="30"/>
          <w:szCs w:val="32"/>
        </w:rPr>
        <w:t>营造良好氛围</w:t>
      </w:r>
      <w:bookmarkEnd w:id="146"/>
      <w:bookmarkEnd w:id="147"/>
    </w:p>
    <w:p>
      <w:pPr>
        <w:spacing w:line="560" w:lineRule="exact"/>
        <w:ind w:firstLine="576" w:firstLineChars="200"/>
        <w:rPr>
          <w:rFonts w:ascii="Times New Roman" w:hAnsi="Times New Roman" w:eastAsia="仿宋_GB2312"/>
          <w:color w:val="auto"/>
          <w:spacing w:val="4"/>
          <w:sz w:val="28"/>
          <w:szCs w:val="28"/>
        </w:rPr>
      </w:pPr>
      <w:r>
        <w:rPr>
          <w:rFonts w:ascii="Times New Roman" w:hAnsi="Times New Roman" w:eastAsia="仿宋_GB2312"/>
          <w:color w:val="auto"/>
          <w:spacing w:val="4"/>
          <w:sz w:val="28"/>
          <w:szCs w:val="28"/>
        </w:rPr>
        <w:t>各</w:t>
      </w:r>
      <w:r>
        <w:rPr>
          <w:rFonts w:hint="eastAsia" w:ascii="Times New Roman" w:hAnsi="Times New Roman" w:eastAsia="仿宋_GB2312"/>
          <w:color w:val="auto"/>
          <w:spacing w:val="4"/>
          <w:sz w:val="28"/>
          <w:szCs w:val="28"/>
        </w:rPr>
        <w:t>乡镇、</w:t>
      </w:r>
      <w:r>
        <w:rPr>
          <w:rFonts w:ascii="Times New Roman" w:hAnsi="Times New Roman" w:eastAsia="仿宋_GB2312"/>
          <w:color w:val="auto"/>
          <w:spacing w:val="4"/>
          <w:sz w:val="28"/>
          <w:szCs w:val="28"/>
        </w:rPr>
        <w:t>部门应加大对省情水情的培训教育力度，提高干部群众的水患意识、节水意识、水资源保护意识、水生态环境保护意识。把水情教育纳入国民素质教育体系和中小学教育课程体系，作为领导干部和公务员教育培训的重要内容，广泛宣传、积极动员各方力量参与水利发展。建立规划、前期及建设等各环节社会公众有效参与实施机制，健全公众参与、专家论证和政府决定相结合的行政决策机制。健全水旱灾害、重大水污染、重大水生态环境损害等突发事件社会预警和应急制度，明确各类预案群众响应机制，增强全社会应对水危机和风险的能力。各类媒体要加大宣传力度，形成全社会关心、支持、参与水利发展的良好氛围。</w:t>
      </w:r>
    </w:p>
    <w:p>
      <w:pPr>
        <w:rPr>
          <w:rFonts w:ascii="Times New Roman" w:hAnsi="Times New Roman" w:eastAsia="仿宋_GB2312"/>
          <w:strike/>
          <w:color w:val="auto"/>
          <w:spacing w:val="4"/>
          <w:sz w:val="28"/>
          <w:szCs w:val="28"/>
        </w:rPr>
      </w:pPr>
    </w:p>
    <w:sectPr>
      <w:headerReference r:id="rId13" w:type="default"/>
      <w:footerReference r:id="rId14" w:type="default"/>
      <w:pgSz w:w="11906" w:h="16838"/>
      <w:pgMar w:top="1418" w:right="1418" w:bottom="1418" w:left="1418" w:header="851" w:footer="851" w:gutter="0"/>
      <w:cols w:space="425" w:num="1"/>
      <w:docGrid w:type="linesAndChar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check" w:date="2020-09-21T10:25:00Z" w:initials="艾志强">
    <w:p w14:paraId="79115F6B">
      <w:pPr>
        <w:pStyle w:val="15"/>
        <w:rPr>
          <w:rFonts w:ascii="Times New Roman" w:hAnsi="Times New Roman"/>
        </w:rPr>
      </w:pPr>
      <w:r>
        <w:rPr>
          <w:rFonts w:ascii="Times New Roman" w:hAnsi="Times New Roman"/>
        </w:rPr>
        <w:t>农村供水保障工程十四五规划</w:t>
      </w:r>
    </w:p>
    <w:p w14:paraId="1A0A69B1">
      <w:pPr>
        <w:pStyle w:val="15"/>
      </w:pPr>
      <w:r>
        <w:rPr>
          <w:rFonts w:ascii="Times New Roman" w:hAnsi="Times New Roman"/>
        </w:rPr>
        <w:t>还有各乡镇水系</w:t>
      </w:r>
    </w:p>
  </w:comment>
  <w:comment w:id="1" w:author="Acheck" w:date="2020-09-21T09:51:00Z" w:initials="艾志强">
    <w:p w14:paraId="24081181">
      <w:pPr>
        <w:pStyle w:val="15"/>
      </w:pPr>
      <w:r>
        <w:t>水利风景区</w:t>
      </w:r>
    </w:p>
  </w:comment>
  <w:comment w:id="2" w:author="姚海丽" w:date="2020-11-10T10:55:00Z" w:initials="yhl">
    <w:p w14:paraId="236D0A64">
      <w:pPr>
        <w:pStyle w:val="15"/>
      </w:pPr>
      <w:r>
        <w:rPr>
          <w:rFonts w:hint="eastAsia"/>
        </w:rPr>
        <w:t>数据来源2019水资源公报</w:t>
      </w:r>
    </w:p>
  </w:comment>
  <w:comment w:id="3" w:author="Acheck" w:date="2020-09-28T16:53:00Z" w:initials="艾志强">
    <w:p w14:paraId="7DE84226">
      <w:pPr>
        <w:pStyle w:val="15"/>
      </w:pPr>
      <w:r>
        <w:rPr>
          <w:rFonts w:hint="eastAsia"/>
        </w:rPr>
        <w:t>水源地名录调整</w:t>
      </w:r>
    </w:p>
  </w:comment>
  <w:comment w:id="4" w:author="Acheck" w:date="2020-09-21T10:40:00Z" w:initials="艾志强">
    <w:p w14:paraId="0DC9428E">
      <w:pPr>
        <w:pStyle w:val="15"/>
      </w:pPr>
      <w:r>
        <w:t>水利风景区</w:t>
      </w:r>
    </w:p>
  </w:comment>
  <w:comment w:id="5" w:author="Acheck" w:date="2020-09-15T15:27:00Z" w:initials="艾志强">
    <w:p w14:paraId="21511DC1">
      <w:pPr>
        <w:pStyle w:val="15"/>
      </w:pPr>
      <w:r>
        <w:rPr>
          <w:rFonts w:hint="eastAsia"/>
        </w:rPr>
        <w:t>勐海水利“十三五”规划报告项目表</w:t>
      </w:r>
      <w:r>
        <w:t xml:space="preserve"> (修订稿)</w:t>
      </w:r>
    </w:p>
    <w:p w14:paraId="455222E5">
      <w:pPr>
        <w:pStyle w:val="15"/>
      </w:pPr>
    </w:p>
  </w:comment>
  <w:comment w:id="6" w:author="Acheck" w:date="2020-09-25T11:39:00Z" w:initials="艾志强">
    <w:p w14:paraId="3DC844C0">
      <w:pPr>
        <w:pStyle w:val="15"/>
      </w:pPr>
      <w:r>
        <w:t>根据提供的表格</w:t>
      </w:r>
      <w:r>
        <w:rPr>
          <w:rFonts w:hint="eastAsia"/>
        </w:rPr>
        <w:t>（投资表）</w:t>
      </w:r>
    </w:p>
  </w:comment>
  <w:comment w:id="7" w:author="Acheck" w:date="2020-09-15T15:24:00Z" w:initials="艾志强">
    <w:p w14:paraId="64602A65">
      <w:pPr>
        <w:pStyle w:val="15"/>
      </w:pPr>
      <w:r>
        <w:rPr>
          <w:rFonts w:hint="eastAsia"/>
        </w:rPr>
        <w:t>勐海水利“十三五”规划报告项目表</w:t>
      </w:r>
      <w:r>
        <w:t xml:space="preserve"> (修订稿)</w:t>
      </w:r>
    </w:p>
  </w:comment>
  <w:comment w:id="8" w:author="Acheck" w:date="2020-09-22T09:37:00Z" w:initials="艾志强">
    <w:p w14:paraId="2400622C">
      <w:pPr>
        <w:pStyle w:val="15"/>
      </w:pPr>
      <w:r>
        <w:t>勐海县十三五规划总结</w:t>
      </w:r>
    </w:p>
  </w:comment>
  <w:comment w:id="9" w:author="Acheck" w:date="2020-09-30T15:50:00Z" w:initials="艾志强">
    <w:p w14:paraId="41CF318A">
      <w:pPr>
        <w:pStyle w:val="15"/>
      </w:pPr>
      <w:r>
        <w:rPr>
          <w:rFonts w:hint="eastAsia"/>
        </w:rPr>
        <w:t>附件</w:t>
      </w:r>
      <w:r>
        <w:t>1：勐海县河长制名单</w:t>
      </w:r>
    </w:p>
  </w:comment>
  <w:comment w:id="10" w:author="Acheck" w:date="2020-09-30T17:22:00Z" w:initials="艾志强">
    <w:p w14:paraId="67571081">
      <w:pPr>
        <w:pStyle w:val="15"/>
      </w:pPr>
      <w:r>
        <w:t>加堤防达标率</w:t>
      </w:r>
    </w:p>
  </w:comment>
  <w:comment w:id="11" w:author="Acheck" w:date="2020-09-28T21:18:00Z" w:initials="艾志强">
    <w:p w14:paraId="3EA615C2">
      <w:pPr>
        <w:pStyle w:val="15"/>
      </w:pPr>
      <w:r>
        <w:rPr>
          <w:rFonts w:hint="eastAsia"/>
        </w:rPr>
        <w:t>勐海县2018年年末耕地面积87.8万亩</w:t>
      </w:r>
    </w:p>
  </w:comment>
  <w:comment w:id="12" w:author="Acheck" w:date="2020-09-28T21:24:00Z" w:initials="艾志强">
    <w:p w14:paraId="38A400BC">
      <w:pPr>
        <w:pStyle w:val="15"/>
      </w:pPr>
      <w:r>
        <w:t>十四五规划表</w:t>
      </w:r>
      <w:r>
        <w:rPr>
          <w:rFonts w:hint="eastAsia"/>
        </w:rPr>
        <w:t xml:space="preserve"> 3-1     </w:t>
      </w:r>
      <w:r>
        <w:t>总面积5368km</w:t>
      </w:r>
      <w:r>
        <w:rPr>
          <w:vertAlign w:val="superscript"/>
        </w:rPr>
        <w:t>2</w:t>
      </w:r>
    </w:p>
  </w:comment>
  <w:comment w:id="13" w:author="陈少妹" w:date="2020-08-24T16:24:00Z" w:initials="陈少妹">
    <w:p w14:paraId="16F83922">
      <w:pPr>
        <w:pStyle w:val="15"/>
      </w:pPr>
      <w:r>
        <w:rPr>
          <w:rFonts w:hint="eastAsia"/>
        </w:rPr>
        <w:t>主要参考《云南省“十四五”水安全保障规划</w:t>
      </w:r>
    </w:p>
    <w:p w14:paraId="5E3017B5">
      <w:pPr>
        <w:pStyle w:val="15"/>
      </w:pPr>
      <w:r>
        <w:rPr>
          <w:rFonts w:hint="eastAsia"/>
        </w:rPr>
        <w:t>编制技术大纲（征求意见稿）》</w:t>
      </w:r>
    </w:p>
  </w:comment>
  <w:comment w:id="14" w:author="陈少妹" w:date="2020-08-24T16:24:00Z" w:initials="陈少妹">
    <w:p w14:paraId="3A082A58">
      <w:pPr>
        <w:pStyle w:val="15"/>
      </w:pPr>
      <w:r>
        <w:rPr>
          <w:rFonts w:hint="eastAsia"/>
        </w:rPr>
        <w:t>参考《云南省“十四五”水安全保障规划</w:t>
      </w:r>
    </w:p>
    <w:p w14:paraId="6D0275AF">
      <w:pPr>
        <w:pStyle w:val="15"/>
      </w:pPr>
      <w:r>
        <w:rPr>
          <w:rFonts w:hint="eastAsia"/>
        </w:rPr>
        <w:t>编制技术大纲（征求意见稿）》</w:t>
      </w:r>
    </w:p>
  </w:comment>
  <w:comment w:id="15" w:author="陈少妹" w:date="2020-08-24T16:24:00Z" w:initials="陈少妹">
    <w:p w14:paraId="6DB008E1">
      <w:pPr>
        <w:pStyle w:val="15"/>
      </w:pPr>
      <w:r>
        <w:rPr>
          <w:rFonts w:hint="eastAsia"/>
        </w:rPr>
        <w:t>参考《云南省“十四五”水安全保障规划</w:t>
      </w:r>
    </w:p>
    <w:p w14:paraId="27601C2E">
      <w:pPr>
        <w:pStyle w:val="15"/>
      </w:pPr>
      <w:r>
        <w:rPr>
          <w:rFonts w:hint="eastAsia"/>
        </w:rPr>
        <w:t>编制技术大纲（征求意见稿）》</w:t>
      </w:r>
    </w:p>
  </w:comment>
  <w:comment w:id="16" w:author="陈少妹" w:date="2020-08-24T16:31:00Z" w:initials="陈少妹">
    <w:p w14:paraId="4104797C">
      <w:pPr>
        <w:pStyle w:val="15"/>
      </w:pPr>
      <w:r>
        <w:rPr>
          <w:rFonts w:hint="eastAsia"/>
        </w:rPr>
        <w:t>参考《云南省“十四五”水安全保障规划</w:t>
      </w:r>
    </w:p>
    <w:p w14:paraId="24922609">
      <w:pPr>
        <w:pStyle w:val="15"/>
      </w:pPr>
      <w:r>
        <w:rPr>
          <w:rFonts w:hint="eastAsia"/>
        </w:rPr>
        <w:t>编制技术大纲（征求意见稿）》，删除“</w:t>
      </w:r>
      <w:r>
        <w:rPr>
          <w:rFonts w:hint="eastAsia"/>
          <w:highlight w:val="yellow"/>
        </w:rPr>
        <w:t>科学研判勐海县水利发展面临的新老水问题，深入系统分析水利发展与改革面临的形势，立足于改善民生、促进产业发展、统筹水资源水生态水环境水灾害治理，结合经济社会发展的新要求，分析本流域、本地区水利改革发展不平衡不充分问题，查找水利基础设施方面的主要短板和薄弱环节，统筹考虑补齐短板与提升质量的关系，科学厘定建设目标，支撑经济社会高质量跨越式发展，逐步构建现代化水安全保障体系。</w:t>
      </w:r>
      <w:r>
        <w:rPr>
          <w:rFonts w:hint="eastAsia"/>
        </w:rPr>
        <w:t>”</w:t>
      </w:r>
    </w:p>
  </w:comment>
  <w:comment w:id="17" w:author="Acheck" w:date="2020-09-29T19:21:00Z" w:initials="艾志强">
    <w:p w14:paraId="12323EDE">
      <w:pPr>
        <w:pStyle w:val="15"/>
      </w:pPr>
      <w:r>
        <w:t>现状堤防长度</w:t>
      </w:r>
      <w:r>
        <w:rPr>
          <w:rFonts w:hint="eastAsia"/>
        </w:rPr>
        <w:t>17.8，达标长度17.8</w:t>
      </w:r>
    </w:p>
  </w:comment>
  <w:comment w:id="18" w:author="Acheck" w:date="2020-09-29T17:22:00Z" w:initials="艾志强">
    <w:p w14:paraId="25E945BF">
      <w:pPr>
        <w:pStyle w:val="15"/>
      </w:pPr>
      <w:r>
        <w:t>水库总数</w:t>
      </w:r>
      <w:r>
        <w:rPr>
          <w:rFonts w:hint="eastAsia"/>
        </w:rPr>
        <w:t>91座，水闸总数66座。不达标水库、闸16座，不达标率24.2%</w:t>
      </w:r>
    </w:p>
  </w:comment>
  <w:comment w:id="19" w:author="Acheck" w:date="2020-09-22T14:43:00Z" w:initials="艾志强">
    <w:p w14:paraId="2BAD4AA7">
      <w:pPr>
        <w:pStyle w:val="15"/>
      </w:pPr>
      <w:r>
        <w:rPr>
          <w:rFonts w:hint="eastAsia"/>
        </w:rPr>
        <w:t>2020为2.67；2030为2.80  ，取平均值</w:t>
      </w:r>
    </w:p>
  </w:comment>
  <w:comment w:id="20" w:author="姚海丽" w:date="2020-11-10T09:23:00Z" w:initials="yhl">
    <w:p w14:paraId="3D007E0E">
      <w:pPr>
        <w:pStyle w:val="15"/>
      </w:pPr>
      <w:r>
        <w:rPr>
          <w:rFonts w:hint="eastAsia"/>
        </w:rPr>
        <w:t>2025年三条红线还未下达，用水量较以往来看下降幅度较高，建议在降低</w:t>
      </w:r>
    </w:p>
    <w:p w14:paraId="3C8A5A95">
      <w:pPr>
        <w:pStyle w:val="15"/>
      </w:pPr>
    </w:p>
  </w:comment>
  <w:comment w:id="21" w:author="Acheck" w:date="2020-09-28T21:42:00Z" w:initials="艾志强">
    <w:p w14:paraId="274248C2">
      <w:pPr>
        <w:pStyle w:val="15"/>
      </w:pPr>
      <w:r>
        <w:rPr>
          <w:rFonts w:hint="eastAsia"/>
        </w:rPr>
        <w:t>0.52左右，根据省里文件核对。</w:t>
      </w:r>
    </w:p>
  </w:comment>
  <w:comment w:id="22" w:author="Acheck" w:date="2020-09-29T19:31:00Z" w:initials="艾志强">
    <w:p w14:paraId="302A75F7">
      <w:pPr>
        <w:pStyle w:val="15"/>
      </w:pPr>
      <w:r>
        <w:rPr>
          <w:rFonts w:hint="eastAsia"/>
        </w:rPr>
        <w:t>加上曼桂、曼彦、曼先、布朗山</w:t>
      </w:r>
    </w:p>
  </w:comment>
  <w:comment w:id="23" w:author="Acheck" w:date="2020-09-28T21:43:00Z" w:initials="艾志强">
    <w:p w14:paraId="02AC1FCC">
      <w:pPr>
        <w:pStyle w:val="15"/>
      </w:pPr>
      <w:r>
        <w:t>十四五表</w:t>
      </w:r>
      <w:r>
        <w:rPr>
          <w:rFonts w:hint="eastAsia"/>
        </w:rPr>
        <w:t>，流失138，治理196.23</w:t>
      </w:r>
    </w:p>
  </w:comment>
  <w:comment w:id="24" w:author="Acheck" w:date="2020-09-28T21:44:00Z" w:initials="艾志强">
    <w:p w14:paraId="29195F65">
      <w:pPr>
        <w:pStyle w:val="15"/>
      </w:pPr>
      <w:r>
        <w:t>现状</w:t>
      </w:r>
      <w:r>
        <w:rPr>
          <w:rFonts w:hint="eastAsia"/>
        </w:rPr>
        <w:t>3.7</w:t>
      </w:r>
    </w:p>
  </w:comment>
  <w:comment w:id="25" w:author="Acheck" w:date="2020-09-22T16:22:00Z" w:initials="艾志强">
    <w:p w14:paraId="3FD41C93">
      <w:pPr>
        <w:pStyle w:val="15"/>
      </w:pPr>
      <w:r>
        <w:t>政府工作报告</w:t>
      </w:r>
      <w:r>
        <w:rPr>
          <w:rFonts w:hint="eastAsia"/>
        </w:rPr>
        <w:t>2020</w:t>
      </w:r>
    </w:p>
  </w:comment>
  <w:comment w:id="26" w:author="Acheck" w:date="2020-09-22T15:03:00Z" w:initials="艾志强">
    <w:p w14:paraId="23364EAF">
      <w:pPr>
        <w:pStyle w:val="60"/>
        <w:ind w:firstLine="420"/>
        <w:rPr>
          <w:sz w:val="28"/>
          <w:szCs w:val="28"/>
        </w:rPr>
      </w:pPr>
      <w:r>
        <w:rPr>
          <w:rFonts w:ascii="Times New Roman" w:hAnsi="Times New Roman" w:cs="Times New Roman"/>
          <w:sz w:val="28"/>
          <w:szCs w:val="28"/>
        </w:rPr>
        <w:t>1</w:t>
      </w:r>
      <w:r>
        <w:rPr>
          <w:sz w:val="28"/>
          <w:szCs w:val="28"/>
        </w:rPr>
        <w:t>、“两核”——做强做精勐海县城，加快发展打洛次中心，形成一主一次两个结构中心，实施“中心突破”战略；</w:t>
      </w:r>
    </w:p>
    <w:p w14:paraId="752B218F">
      <w:pPr>
        <w:autoSpaceDE w:val="0"/>
        <w:autoSpaceDN w:val="0"/>
        <w:adjustRightInd w:val="0"/>
        <w:jc w:val="left"/>
        <w:rPr>
          <w:rFonts w:cs="宋体"/>
          <w:kern w:val="0"/>
          <w:sz w:val="28"/>
          <w:szCs w:val="28"/>
        </w:rPr>
      </w:pPr>
      <w:r>
        <w:rPr>
          <w:rFonts w:ascii="Times New Roman" w:hAnsi="Times New Roman"/>
          <w:kern w:val="0"/>
          <w:sz w:val="28"/>
          <w:szCs w:val="28"/>
        </w:rPr>
        <w:t>2</w:t>
      </w:r>
      <w:r>
        <w:rPr>
          <w:rFonts w:cs="宋体"/>
          <w:kern w:val="0"/>
          <w:sz w:val="28"/>
          <w:szCs w:val="28"/>
        </w:rPr>
        <w:t>、“两轴”——构建景洪至打洛高速和勐海至澜沧惠民段高速公路，实施“轴线辐射”战略；</w:t>
      </w:r>
    </w:p>
    <w:p w14:paraId="01140713">
      <w:pPr>
        <w:autoSpaceDE w:val="0"/>
        <w:autoSpaceDN w:val="0"/>
        <w:adjustRightInd w:val="0"/>
        <w:jc w:val="left"/>
        <w:rPr>
          <w:rFonts w:cs="宋体"/>
          <w:kern w:val="0"/>
          <w:sz w:val="28"/>
          <w:szCs w:val="28"/>
        </w:rPr>
      </w:pPr>
      <w:r>
        <w:rPr>
          <w:rFonts w:ascii="Times New Roman" w:hAnsi="Times New Roman"/>
          <w:kern w:val="0"/>
          <w:sz w:val="28"/>
          <w:szCs w:val="28"/>
        </w:rPr>
        <w:t>3</w:t>
      </w:r>
      <w:r>
        <w:rPr>
          <w:rFonts w:cs="宋体"/>
          <w:kern w:val="0"/>
          <w:sz w:val="28"/>
          <w:szCs w:val="28"/>
        </w:rPr>
        <w:t>、“三线”——勐海、勐阿、勐往至普洱市发展次轴，勐混、布朗山至景洪市发展次轴，以及勐满、西定、打洛的沿边对外发展次轴；</w:t>
      </w:r>
    </w:p>
    <w:p w14:paraId="777F4213">
      <w:pPr>
        <w:autoSpaceDE w:val="0"/>
        <w:autoSpaceDN w:val="0"/>
        <w:adjustRightInd w:val="0"/>
        <w:jc w:val="left"/>
        <w:rPr>
          <w:rFonts w:cs="宋体"/>
          <w:kern w:val="0"/>
          <w:sz w:val="28"/>
          <w:szCs w:val="28"/>
        </w:rPr>
      </w:pPr>
      <w:r>
        <w:rPr>
          <w:rFonts w:ascii="Times New Roman" w:hAnsi="Times New Roman"/>
          <w:kern w:val="0"/>
          <w:sz w:val="28"/>
          <w:szCs w:val="28"/>
        </w:rPr>
        <w:t>4</w:t>
      </w:r>
      <w:r>
        <w:rPr>
          <w:rFonts w:cs="宋体"/>
          <w:kern w:val="0"/>
          <w:sz w:val="28"/>
          <w:szCs w:val="28"/>
        </w:rPr>
        <w:t>、“四片”</w:t>
      </w:r>
    </w:p>
    <w:p w14:paraId="08A11DB3">
      <w:pPr>
        <w:pStyle w:val="15"/>
      </w:pPr>
      <w:r>
        <w:rPr>
          <w:rFonts w:cs="宋体"/>
          <w:kern w:val="0"/>
          <w:sz w:val="28"/>
          <w:szCs w:val="28"/>
        </w:rPr>
        <w:t>中部城镇核心区包括县城（勐海镇）、勐遮、勐混三镇，具有良好的发展基础，形成县域协作发展的核心区。西南部城镇协作区包括打洛、布朗山、西</w:t>
      </w:r>
    </w:p>
  </w:comment>
  <w:comment w:id="27" w:author="Acheck" w:date="2020-09-22T15:04:00Z" w:initials="艾志强">
    <w:p w14:paraId="5BC45C6A">
      <w:pPr>
        <w:pStyle w:val="15"/>
      </w:pPr>
      <w:r>
        <w:rPr>
          <w:rFonts w:hint="eastAsia"/>
        </w:rPr>
        <w:t>一核多点：做强精勐海县城，实施“中心突破”战略形成个产业发</w:t>
      </w:r>
      <w:r>
        <w:t xml:space="preserve"> 一核多点：做强精勐海县城，实施“中心突破”战略形成个产业发 一核多点：做强精勐海县城，实施“中心突破”战略形成个产业发 一核多点：做强精勐海县城，实施“中心突破”战略形成个产业发 一核多点：做强精勐海县城，实施“中心突破”战略形成个产业发 一核多点：做强精勐海县城，实施“中心突破”战略形成个产业发 一核多点：做强精勐海县城，实施“中心突破”战略形成个产业发 一核多点：做强精勐海县城，实施“中心突破”战略形成个产业发 一核多点：做强精勐海县城，实施“</w:t>
      </w:r>
      <w:r>
        <w:rPr>
          <w:rFonts w:hint="eastAsia"/>
        </w:rPr>
        <w:t>中心突破”战略形成个产业发</w:t>
      </w:r>
      <w:r>
        <w:t xml:space="preserve"> 一核多点：做强精勐海县城，实施“中心突破”战略形成个产业发 一核多点：做强精勐海县城，实施“中心突破”战略形成个产业发 展核心；构建产业专精乡镇，形成多个发节点。结合勐海各特 展核心；构建产业专精乡镇，形成多个发节点。结合勐海各特 展核心；构建产业专精乡镇，形成多个发节点。结合勐海各特 展核心；构建产业专精乡镇，形成多个发节点。结合勐海各特 展核心；构建产业专精乡镇，形成多个发节点。结合勐海各特 展核心；构建产业专精乡镇，形成多个发节点。结合勐海各特 展核心；构建产业专精乡镇，形</w:t>
      </w:r>
      <w:r>
        <w:rPr>
          <w:rFonts w:hint="eastAsia"/>
        </w:rPr>
        <w:t>成多个发节点。结合勐海各特</w:t>
      </w:r>
      <w:r>
        <w:t xml:space="preserve"> 展核心；构建产业专精乡镇，形成多个发节点。结合勐海各特 展核心；构建产业专精乡镇，形成多个发节点。结合勐海各特 展核心；构建产业专精乡镇，形成多个发节点。结合勐海各特 展核心；构建产业专精乡镇，形成多个发节点。结合勐海各特 展核心；构建产业专精乡镇，形成多个发节点。结合勐海各特 展核心；构建产业专精乡镇，形成多个发节点。结合勐海各特 展核心；构建产业专精乡镇，形成多个发节点。结合勐海各特 展核心；构建产业专精乡镇，形成多个发节点。结合勐海各特 点，构建一些产业专 乡镇形成多个发展</w:t>
      </w:r>
      <w:r>
        <w:rPr>
          <w:rFonts w:hint="eastAsia"/>
        </w:rPr>
        <w:t>的节。如：勐遮粮食种植点，构建一些产业专</w:t>
      </w:r>
      <w:r>
        <w:t xml:space="preserve"> 乡镇形成多个发展的节。如：勐遮粮食种植点，构建一些产业专 乡镇形成多个发展的节。如：勐遮粮食种植点，构建一些产业专 乡镇形成多个发展的节。如：勐遮粮食种植点，构建一些产业专 乡镇形成多个发展的节。如：勐遮粮食种植点，构建一些产业专 乡镇形成多个发展的节。如：勐遮粮食种植点，构建一些产业专 乡镇形成多个发展的节。如：勐遮粮食种植点，构建一些产业专 乡镇形成多个发展的节。如：勐遮粮食种植点，构建一些产业专 乡镇形成多个发展的节。如：勐遮粮食种植点，构建一些产业专 乡镇形</w:t>
      </w:r>
      <w:r>
        <w:rPr>
          <w:rFonts w:hint="eastAsia"/>
        </w:rPr>
        <w:t>成多个发展的节。如：勐遮粮食种植点，构建一些产业专</w:t>
      </w:r>
      <w:r>
        <w:t xml:space="preserve"> 乡镇形成多个发展的节。如：勐遮粮食种植点，构建一些产业专 乡镇形成多个发展的节。如：勐遮粮食种植点，构建一些产业专 乡镇形成多个发展的节。如：勐遮粮食种植业镇，勐宋云麻产专乡阿甘蔗海蔬菜种植等； 业镇，勐宋云麻产专乡阿甘蔗海蔬菜种植等； 业镇，勐宋云麻产专乡阿甘蔗海蔬菜种植等； 业镇，勐宋云麻产专乡阿甘蔗海蔬菜种植等； 业镇，勐宋云麻产专乡阿甘蔗海蔬菜种植等； 业镇，勐宋云麻产专乡阿甘蔗海蔬菜种植等； 业镇，勐宋云麻产专乡阿甘蔗海蔬菜种植等； 业镇，勐宋云</w:t>
      </w:r>
      <w:r>
        <w:rPr>
          <w:rFonts w:hint="eastAsia"/>
        </w:rPr>
        <w:t>麻产专乡阿甘蔗海蔬菜种植等；</w:t>
      </w:r>
      <w:r>
        <w:t xml:space="preserve"> 业镇，勐宋云麻产专乡阿甘蔗海蔬菜种植等； 业镇，勐宋云麻产专乡阿甘蔗海蔬菜种植等； 业镇，勐宋云麻产专乡阿甘蔗海蔬菜种植等； 业镇，勐宋云麻产专乡阿甘蔗海蔬菜种植等； 业镇，勐宋云麻产专乡阿甘蔗海蔬菜种植等； 业镇，勐宋云麻产专乡阿甘蔗海蔬菜种植等；</w:t>
      </w:r>
    </w:p>
    <w:p w14:paraId="13050446">
      <w:pPr>
        <w:pStyle w:val="15"/>
      </w:pPr>
      <w:r>
        <w:rPr>
          <w:rFonts w:hint="eastAsia"/>
        </w:rPr>
        <w:t>一环两轴：加强县域西南的沿边发展带和北部东区内外协作联</w:t>
      </w:r>
      <w:r>
        <w:t xml:space="preserve"> 一环两轴：加强县域西南的沿边发展带和北部东区内外协作联 一环两轴：加强县域西南的沿边发展带和北部东区内外协作联 一环两轴：加强县域西南的沿边发展带和北部东区内外协作联 动，形成环域的产业联发展；依托主要交通廊道构建一横 动，形成环域的产业联发展；依托主要交通廊道构建一横 动，形成环域的产业联发展；依托主要交通廊道构建一横 动，形成环域的产业联发展；依托主要交通廊道构建一横 动，形成环域的产业联发展；依托主要交通廊道构建一横 动，形成环域的产业联发展；依</w:t>
      </w:r>
      <w:r>
        <w:rPr>
          <w:rFonts w:hint="eastAsia"/>
        </w:rPr>
        <w:t>托主要交通廊道构建一横</w:t>
      </w:r>
      <w:r>
        <w:t xml:space="preserve"> 动，形成环域的产业联发展；依托主要交通廊道构建一横 动，形成环域的产业联发展；依托主要交通廊道构建一横 动，形成环域的产业联发展；依托主要交通廊道构建一横 动，形成环域的产业联发展；依托主要交通廊道构建一横 动，形成环域的产业联发展；依托主要交通廊道构建一横 动，形成环域的产业联发展；依托主要交通廊道构建一横 一竖两条主要产 一竖两条主要产 一竖两条主要产 一竖两条主要产 业发展轴线，实施“辐射”战略； 业发展轴线，实施“辐射”战略； 业发展轴线，实施“辐射”战略； 业发展轴线，实施</w:t>
      </w:r>
      <w:r>
        <w:rPr>
          <w:rFonts w:hint="eastAsia"/>
        </w:rPr>
        <w:t>“辐射”战略；</w:t>
      </w:r>
      <w:r>
        <w:t xml:space="preserve"> 业发展轴线，实施“辐射”战略； 业发展轴线，实施“辐射”战略； 业发展轴线，实施“辐射”战略；</w:t>
      </w:r>
    </w:p>
    <w:p w14:paraId="46131A26">
      <w:pPr>
        <w:pStyle w:val="15"/>
      </w:pPr>
      <w:r>
        <w:rPr>
          <w:rFonts w:hint="eastAsia"/>
        </w:rPr>
        <w:t>四大片区：中部综合发展（勐海县城、遮镇混）形成辐射域</w:t>
      </w:r>
      <w:r>
        <w:t xml:space="preserve"> 大片区：中部综合发展（勐海县城、遮镇混）形成辐射域 大片区：中部综合发展（勐海县城、遮镇混）形成辐射域 大片区：中部综合发展（勐海县城、遮镇混）形成辐射域 大片区：中部综合发展（勐海县城、遮镇混）形成辐射域 大片区：中部综合发展（勐海县城、遮镇混）形成辐射域 大片区：中部综合发展（勐海县城、遮镇混）形成辐射域 大片区：中部综合发展（勐海县城、遮镇混）形成辐射域 大片区：中部综合发展（勐海县城、遮镇混）形成辐射域 大片区：中部综合发展（勐海县城、遮镇混）形</w:t>
      </w:r>
      <w:r>
        <w:rPr>
          <w:rFonts w:hint="eastAsia"/>
        </w:rPr>
        <w:t>成辐射域</w:t>
      </w:r>
      <w:r>
        <w:t xml:space="preserve"> 大片区：中部综合发展（勐海县城、遮镇混）形成辐射域 大片区：中部综合发展（勐海县城、遮镇混）形成辐射域 的核心综合产业区域； 的核心综合产业区域； 的核心综合产业区域； 的核心综合产业区域； 东部旅游康养区（勐宋乡、格朗和）结合自然人文 部旅游康养区（勐宋乡、格朗和）结合自然人文 部旅游康养区（勐宋乡、格朗和）结合自然人文 部旅游康养区（勐宋乡、格朗和）结合自然人文 部旅游康养区（勐宋乡、格朗和）结合自然人文 部旅游康养区（勐宋乡、格朗和）结合自然人文 部旅游康养区（勐宋乡、格朗和）结合自然人文 </w:t>
      </w:r>
      <w:r>
        <w:rPr>
          <w:rFonts w:hint="eastAsia"/>
        </w:rPr>
        <w:t>部旅游康养区（勐宋乡、格朗和）结合自然人文</w:t>
      </w:r>
      <w:r>
        <w:t xml:space="preserve"> 部旅游康养区（勐宋乡、格朗和）结合自然人文 资源构建观光体验为主的生态旅游康养区域；西部边贸（打洛镇、定 资源构建观光体验为主的生态旅游康养区域；西部边贸（打洛镇、定 资源构建观光体验为主的生态旅游康养区域；西部边贸（打洛镇、定 资源构建观光体验为主的生态旅游康养区域；西部边贸（打洛镇、定 资源构建观光体验为主的生态旅游康养区域；西部边贸（打洛镇、定 资源构建观光体验为主的生态旅游康养区域；西部边贸（打洛镇、定 资源构建观光体验为主的生态旅游康养区域；西部边贸（打</w:t>
      </w:r>
      <w:r>
        <w:rPr>
          <w:rFonts w:hint="eastAsia"/>
        </w:rPr>
        <w:t>洛镇、定</w:t>
      </w:r>
      <w:r>
        <w:t xml:space="preserve"> 资源构建观光体验为主的生态旅游康养区域；西部边贸（打洛镇、定 资源构建观光体验为主的生态旅游康养区域；西部边贸（打洛镇、定 资源构建观光体验为主的生态旅游康养区域；西部边贸（打洛镇、定 资源构建观光体验为主的生态旅游康养区域；西部边贸（打洛镇、定 资源构建观光体验为主的生态旅游康养区域；西部边贸（打洛镇、定 资源构建观光体验为主的生态旅游康养区域；西部边贸（打洛镇、定 资源构建观光体验为主的生态旅游康养区域；西部边贸（打洛镇、定 资源构建观光体验为主的生态旅游康养区域；西部边贸（打洛镇、定 乡、布</w:t>
      </w:r>
      <w:r>
        <w:rPr>
          <w:rFonts w:hint="eastAsia"/>
        </w:rPr>
        <w:t>朗山乡）以边境贸易和风情旅游为主的产业片区；北部</w:t>
      </w:r>
      <w:r>
        <w:t xml:space="preserve"> 布朗山乡）以边境贸易和风情旅游为主的产业片区；北部 布朗山乡）以边境贸易和风情旅游为主的产业片区；北部 布朗山乡）以边境贸易和风情旅游为主的产业片区；北部 布朗山乡）以边境贸易和风情旅游为主的产业片区；北部 布朗山乡）以边境贸易和风情旅游为主的产业片区；北部 布朗山乡）以边境贸易和风情旅游为主的产业片区；北部 布朗山乡）以边境贸易和风情旅游为主的产业片区；北部 布朗山乡）以边境贸易和风情旅游为主的产业片区；北部 布朗山乡）以边境贸易和风情旅游为主的产业片区；</w:t>
      </w:r>
      <w:r>
        <w:rPr>
          <w:rFonts w:hint="eastAsia"/>
        </w:rPr>
        <w:t>北部</w:t>
      </w:r>
      <w:r>
        <w:t xml:space="preserve"> 布朗山乡）以边境贸易和风情旅游为主的产业片区；北部 布朗山乡）以边境贸易和风情旅游为主的产业片区；北部 布朗山乡）以边境贸易和风情旅游为主的产业片区；北部 布朗山乡）以边境贸易和风情旅游为主的产业片区；北部 生态农业 生态农业 和 加工商贸区（勐满镇 、阿加工商贸区（勐满镇 、阿加工商贸区（勐满镇 、阿加工商贸区（勐满镇 、阿加工商贸区（勐满镇 、阿、勐往乡 、勐往乡 、勐往乡 ）以农副产 品加工和区域商贸为主的）以农副产 品加工和区域商贸为主的）以农副产 品加工和区域商贸为主的）以农副产 品加工和区</w:t>
      </w:r>
      <w:r>
        <w:rPr>
          <w:rFonts w:hint="eastAsia"/>
        </w:rPr>
        <w:t>域商贸为主的）以农副产</w:t>
      </w:r>
      <w:r>
        <w:t xml:space="preserve"> 品加工和区域商贸为主的）以农副产 品加工和区域商贸为主的）以农副产 品加工和区域商贸为主的</w:t>
      </w:r>
    </w:p>
  </w:comment>
  <w:comment w:id="28" w:author="Acheck" w:date="2020-09-22T15:01:00Z" w:initials="艾志强">
    <w:p w14:paraId="73CD2C0D">
      <w:pPr>
        <w:pStyle w:val="60"/>
        <w:ind w:firstLine="420"/>
        <w:rPr>
          <w:sz w:val="28"/>
          <w:szCs w:val="28"/>
        </w:rPr>
      </w:pPr>
      <w:r>
        <w:rPr>
          <w:rFonts w:hint="eastAsia"/>
          <w:sz w:val="28"/>
          <w:szCs w:val="28"/>
        </w:rPr>
        <w:t>城市总体规划：</w:t>
      </w:r>
    </w:p>
    <w:p w14:paraId="29F34AB5">
      <w:pPr>
        <w:pStyle w:val="60"/>
        <w:ind w:firstLine="420"/>
        <w:rPr>
          <w:sz w:val="28"/>
          <w:szCs w:val="28"/>
        </w:rPr>
      </w:pPr>
    </w:p>
    <w:p w14:paraId="5B495508">
      <w:pPr>
        <w:pStyle w:val="60"/>
        <w:ind w:firstLine="420"/>
        <w:rPr>
          <w:sz w:val="28"/>
          <w:szCs w:val="28"/>
        </w:rPr>
      </w:pPr>
      <w:r>
        <w:rPr>
          <w:sz w:val="28"/>
          <w:szCs w:val="28"/>
        </w:rPr>
        <w:t>勐海全域形成两心一环两轴三区的旅游发展总体布局。</w:t>
      </w:r>
    </w:p>
    <w:p w14:paraId="5FD84C35">
      <w:pPr>
        <w:pStyle w:val="60"/>
        <w:ind w:firstLine="576"/>
        <w:rPr>
          <w:sz w:val="28"/>
          <w:szCs w:val="28"/>
        </w:rPr>
      </w:pPr>
      <w:r>
        <w:rPr>
          <w:sz w:val="28"/>
          <w:szCs w:val="28"/>
        </w:rPr>
        <w:t>两心：以勐海县城为依托的综合服务核心，以打洛镇为依托的旅游服务次中心。</w:t>
      </w:r>
    </w:p>
    <w:p w14:paraId="38325D6B">
      <w:pPr>
        <w:pStyle w:val="60"/>
        <w:ind w:firstLine="576"/>
        <w:rPr>
          <w:sz w:val="28"/>
          <w:szCs w:val="28"/>
        </w:rPr>
      </w:pPr>
      <w:r>
        <w:rPr>
          <w:sz w:val="28"/>
          <w:szCs w:val="28"/>
        </w:rPr>
        <w:t>一环：全域旅游大环线</w:t>
      </w:r>
    </w:p>
    <w:p w14:paraId="33E97689">
      <w:pPr>
        <w:pStyle w:val="60"/>
        <w:ind w:firstLine="576"/>
        <w:rPr>
          <w:sz w:val="28"/>
          <w:szCs w:val="28"/>
        </w:rPr>
      </w:pPr>
      <w:r>
        <w:rPr>
          <w:sz w:val="28"/>
          <w:szCs w:val="28"/>
        </w:rPr>
        <w:t>两轴：旅游联动发展主轴——勐海旅游发展主动脉，东联景洪，南接边境；旅游联动发展次轴——对接北部片区，向外辐射澜沧县。</w:t>
      </w:r>
    </w:p>
    <w:p w14:paraId="5C90254C">
      <w:pPr>
        <w:pStyle w:val="15"/>
      </w:pPr>
      <w:r>
        <w:rPr>
          <w:sz w:val="28"/>
          <w:szCs w:val="28"/>
        </w:rPr>
        <w:t>三区：古茶文化旅游区、边贸民俗旅游区、生态雨林旅游区。</w:t>
      </w:r>
    </w:p>
  </w:comment>
  <w:comment w:id="29" w:author="姚海丽" w:date="2020-11-10T09:21:00Z" w:initials="yhl">
    <w:p w14:paraId="52063CAD">
      <w:pPr>
        <w:pStyle w:val="15"/>
      </w:pPr>
      <w:r>
        <w:rPr>
          <w:rFonts w:hint="eastAsia"/>
        </w:rPr>
        <w:t>灌溉有效利用系数与前面目标不一致，且0.57太高，恐难以实现</w:t>
      </w:r>
    </w:p>
  </w:comment>
  <w:comment w:id="30" w:author="Acheck" w:date="2020-08-25T11:37:00Z" w:initials="艾志强">
    <w:p w14:paraId="69DB5A9E">
      <w:pPr>
        <w:pStyle w:val="15"/>
      </w:pPr>
      <w:r>
        <w:t>十四五项目表</w:t>
      </w:r>
      <w:r>
        <w:rPr>
          <w:rFonts w:hint="eastAsia"/>
        </w:rPr>
        <w:t>2-3</w:t>
      </w:r>
    </w:p>
  </w:comment>
  <w:comment w:id="31" w:author="Acheck" w:date="2020-09-29T20:06:00Z" w:initials="艾志强">
    <w:p w14:paraId="330A7846">
      <w:pPr>
        <w:pStyle w:val="15"/>
      </w:pPr>
      <w:r>
        <w:rPr>
          <w:rFonts w:hint="eastAsia"/>
        </w:rPr>
        <w:t>勐海县那达勐水库安全生产、防洪抢险应急预案</w:t>
      </w:r>
    </w:p>
    <w:p w14:paraId="48614162">
      <w:pPr>
        <w:pStyle w:val="15"/>
      </w:pPr>
      <w:r>
        <w:rPr>
          <w:rFonts w:hint="eastAsia"/>
        </w:rPr>
        <w:t>问题来自规划表格。</w:t>
      </w:r>
    </w:p>
  </w:comment>
  <w:comment w:id="32" w:author="Acheck" w:date="2020-09-29T20:20:00Z" w:initials="艾志强">
    <w:p w14:paraId="6F4D137E">
      <w:pPr>
        <w:pStyle w:val="15"/>
      </w:pPr>
      <w:r>
        <w:t>总耕地面积</w:t>
      </w:r>
      <w:r>
        <w:rPr>
          <w:rFonts w:hint="eastAsia"/>
        </w:rPr>
        <w:t>1.83，曼卡和曼蚌灌溉0.188，曼彦设计灌溉1.642</w:t>
      </w:r>
    </w:p>
  </w:comment>
  <w:comment w:id="33" w:author="Acheck" w:date="2020-09-29T19:54:00Z" w:initials="艾志强">
    <w:p w14:paraId="2DE74C1C">
      <w:pPr>
        <w:pStyle w:val="15"/>
      </w:pPr>
      <w:r>
        <w:rPr>
          <w:rFonts w:hint="eastAsia"/>
        </w:rPr>
        <w:t>勐海县勐阿坝区水资源利用规划报告  8.1.2</w:t>
      </w:r>
    </w:p>
    <w:p w14:paraId="1A6E050E">
      <w:pPr>
        <w:pStyle w:val="15"/>
      </w:pPr>
      <w:r>
        <w:t>完成情况来自人饮十四五</w:t>
      </w:r>
    </w:p>
  </w:comment>
  <w:comment w:id="34" w:author="Acheck" w:date="2020-09-29T19:54:00Z" w:initials="艾志强">
    <w:p w14:paraId="77931884">
      <w:pPr>
        <w:pStyle w:val="15"/>
      </w:pPr>
      <w:r>
        <w:t>曼彦规划报告</w:t>
      </w:r>
      <w:r>
        <w:rPr>
          <w:rFonts w:hint="eastAsia"/>
        </w:rPr>
        <w:t>+</w:t>
      </w:r>
      <w:r>
        <w:t>完成情况来自人饮十四五</w:t>
      </w:r>
    </w:p>
  </w:comment>
  <w:comment w:id="35" w:author="Acheck" w:date="2021-01-11T21:14:00Z" w:initials="艾志强">
    <w:p w14:paraId="0C4F529C">
      <w:pPr>
        <w:pStyle w:val="15"/>
      </w:pPr>
      <w:r>
        <w:rPr>
          <w:rFonts w:hint="eastAsia"/>
        </w:rPr>
        <w:t>勐海县申请纳入十四五规划思路材料</w:t>
      </w:r>
    </w:p>
  </w:comment>
  <w:comment w:id="36" w:author="Acheck" w:date="2021-01-11T21:30:00Z" w:initials="艾志强">
    <w:p w14:paraId="5B0A247F">
      <w:pPr>
        <w:pStyle w:val="15"/>
      </w:pPr>
      <w:r>
        <w:t>增加的河流</w:t>
      </w:r>
      <w:r>
        <w:rPr>
          <w:rFonts w:hint="eastAsia"/>
        </w:rPr>
        <w:t>来自50Km2以下的河流名录</w:t>
      </w:r>
    </w:p>
  </w:comment>
  <w:comment w:id="37" w:author="Acheck" w:date="2020-09-23T16:48:00Z" w:initials="艾志强">
    <w:p w14:paraId="3B600D48">
      <w:pPr>
        <w:pStyle w:val="15"/>
      </w:pPr>
      <w:r>
        <w:t>原基础</w:t>
      </w:r>
      <w:r>
        <w:rPr>
          <w:rFonts w:hint="eastAsia"/>
        </w:rPr>
        <w:t>+100</w:t>
      </w:r>
    </w:p>
  </w:comment>
  <w:comment w:id="38" w:author="Acheck" w:date="2020-09-29T17:09:00Z" w:initials="艾志强">
    <w:p w14:paraId="32D54F4D">
      <w:pPr>
        <w:pStyle w:val="15"/>
      </w:pPr>
      <w:r>
        <w:t>县十三五</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A0A69B1" w15:done="0"/>
  <w15:commentEx w15:paraId="24081181" w15:done="0"/>
  <w15:commentEx w15:paraId="236D0A64" w15:done="0"/>
  <w15:commentEx w15:paraId="7DE84226" w15:done="0"/>
  <w15:commentEx w15:paraId="0DC9428E" w15:done="0"/>
  <w15:commentEx w15:paraId="455222E5" w15:done="0"/>
  <w15:commentEx w15:paraId="3DC844C0" w15:done="0"/>
  <w15:commentEx w15:paraId="64602A65" w15:done="0"/>
  <w15:commentEx w15:paraId="2400622C" w15:done="0"/>
  <w15:commentEx w15:paraId="41CF318A" w15:done="0"/>
  <w15:commentEx w15:paraId="67571081" w15:done="0"/>
  <w15:commentEx w15:paraId="3EA615C2" w15:done="0"/>
  <w15:commentEx w15:paraId="38A400BC" w15:done="0"/>
  <w15:commentEx w15:paraId="5E3017B5" w15:done="0"/>
  <w15:commentEx w15:paraId="6D0275AF" w15:done="0"/>
  <w15:commentEx w15:paraId="27601C2E" w15:done="0"/>
  <w15:commentEx w15:paraId="24922609" w15:done="0"/>
  <w15:commentEx w15:paraId="12323EDE" w15:done="0"/>
  <w15:commentEx w15:paraId="25E945BF" w15:done="0"/>
  <w15:commentEx w15:paraId="2BAD4AA7" w15:done="0"/>
  <w15:commentEx w15:paraId="3C8A5A95" w15:done="0"/>
  <w15:commentEx w15:paraId="274248C2" w15:done="0"/>
  <w15:commentEx w15:paraId="302A75F7" w15:done="0"/>
  <w15:commentEx w15:paraId="02AC1FCC" w15:done="0"/>
  <w15:commentEx w15:paraId="29195F65" w15:done="0"/>
  <w15:commentEx w15:paraId="3FD41C93" w15:done="0"/>
  <w15:commentEx w15:paraId="08A11DB3" w15:done="0"/>
  <w15:commentEx w15:paraId="46131A26" w15:done="0"/>
  <w15:commentEx w15:paraId="5C90254C" w15:done="0"/>
  <w15:commentEx w15:paraId="52063CAD" w15:done="0"/>
  <w15:commentEx w15:paraId="69DB5A9E" w15:done="0"/>
  <w15:commentEx w15:paraId="48614162" w15:done="0"/>
  <w15:commentEx w15:paraId="6F4D137E" w15:done="0"/>
  <w15:commentEx w15:paraId="1A6E050E" w15:done="0"/>
  <w15:commentEx w15:paraId="77931884" w15:done="0"/>
  <w15:commentEx w15:paraId="0C4F529C" w15:done="0"/>
  <w15:commentEx w15:paraId="5B0A247F" w15:done="0"/>
  <w15:commentEx w15:paraId="3B600D48" w15:done="0"/>
  <w15:commentEx w15:paraId="32D54F4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7"/>
      </w:rPr>
    </w:pPr>
    <w:r>
      <w:rPr>
        <w:rStyle w:val="37"/>
      </w:rPr>
      <w:fldChar w:fldCharType="begin"/>
    </w:r>
    <w:r>
      <w:rPr>
        <w:rStyle w:val="37"/>
      </w:rPr>
      <w:instrText xml:space="preserve">PAGE  </w:instrText>
    </w:r>
    <w:r>
      <w:rPr>
        <w:rStyle w:val="37"/>
      </w:rPr>
      <w:fldChar w:fldCharType="separate"/>
    </w:r>
    <w:r>
      <w:rPr>
        <w:rStyle w:val="37"/>
      </w:rPr>
      <w:t>1</w:t>
    </w:r>
    <w:r>
      <w:rPr>
        <w:rStyle w:val="37"/>
      </w:rPr>
      <w:fldChar w:fldCharType="end"/>
    </w:r>
  </w:p>
  <w:p>
    <w:pPr>
      <w:pStyle w:val="2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7"/>
        <w:rFonts w:ascii="Times New Roman" w:hAnsi="Times New Roman"/>
        <w:sz w:val="22"/>
        <w:szCs w:val="22"/>
      </w:rPr>
    </w:pPr>
    <w:r>
      <w:rPr>
        <w:rStyle w:val="37"/>
        <w:rFonts w:ascii="Times New Roman" w:hAnsi="Times New Roman"/>
        <w:sz w:val="22"/>
        <w:szCs w:val="22"/>
      </w:rPr>
      <w:fldChar w:fldCharType="begin"/>
    </w:r>
    <w:r>
      <w:rPr>
        <w:rStyle w:val="37"/>
        <w:rFonts w:ascii="Times New Roman" w:hAnsi="Times New Roman"/>
        <w:sz w:val="22"/>
        <w:szCs w:val="22"/>
      </w:rPr>
      <w:instrText xml:space="preserve">PAGE  </w:instrText>
    </w:r>
    <w:r>
      <w:rPr>
        <w:rStyle w:val="37"/>
        <w:rFonts w:ascii="Times New Roman" w:hAnsi="Times New Roman"/>
        <w:sz w:val="22"/>
        <w:szCs w:val="22"/>
      </w:rPr>
      <w:fldChar w:fldCharType="separate"/>
    </w:r>
    <w:r>
      <w:rPr>
        <w:rStyle w:val="37"/>
        <w:rFonts w:ascii="Times New Roman" w:hAnsi="Times New Roman"/>
        <w:sz w:val="22"/>
        <w:szCs w:val="22"/>
      </w:rPr>
      <w:t>iv</w:t>
    </w:r>
    <w:r>
      <w:rPr>
        <w:rStyle w:val="37"/>
        <w:rFonts w:ascii="Times New Roman" w:hAnsi="Times New Roman"/>
        <w:sz w:val="22"/>
        <w:szCs w:val="22"/>
      </w:rPr>
      <w:fldChar w:fldCharType="end"/>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Style w:val="37"/>
                            </w:rPr>
                          </w:pPr>
                          <w:r>
                            <w:rPr>
                              <w:rStyle w:val="37"/>
                              <w:rFonts w:ascii="Times New Roman" w:hAnsi="Times New Roman"/>
                              <w:sz w:val="22"/>
                              <w:szCs w:val="22"/>
                            </w:rPr>
                            <w:fldChar w:fldCharType="begin"/>
                          </w:r>
                          <w:r>
                            <w:rPr>
                              <w:rStyle w:val="37"/>
                              <w:rFonts w:ascii="Times New Roman" w:hAnsi="Times New Roman"/>
                              <w:sz w:val="22"/>
                              <w:szCs w:val="22"/>
                            </w:rPr>
                            <w:instrText xml:space="preserve">PAGE  </w:instrText>
                          </w:r>
                          <w:r>
                            <w:rPr>
                              <w:rStyle w:val="37"/>
                              <w:rFonts w:ascii="Times New Roman" w:hAnsi="Times New Roman"/>
                              <w:sz w:val="22"/>
                              <w:szCs w:val="22"/>
                            </w:rPr>
                            <w:fldChar w:fldCharType="separate"/>
                          </w:r>
                          <w:r>
                            <w:rPr>
                              <w:rStyle w:val="37"/>
                              <w:rFonts w:ascii="Times New Roman" w:hAnsi="Times New Roman"/>
                              <w:sz w:val="22"/>
                              <w:szCs w:val="22"/>
                            </w:rPr>
                            <w:t>2</w:t>
                          </w:r>
                          <w:r>
                            <w:rPr>
                              <w:rStyle w:val="37"/>
                              <w:rFonts w:ascii="Times New Roman" w:hAnsi="Times New Roman"/>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22"/>
                      <w:rPr>
                        <w:rStyle w:val="37"/>
                      </w:rPr>
                    </w:pPr>
                    <w:r>
                      <w:rPr>
                        <w:rStyle w:val="37"/>
                        <w:rFonts w:ascii="Times New Roman" w:hAnsi="Times New Roman"/>
                        <w:sz w:val="22"/>
                        <w:szCs w:val="22"/>
                      </w:rPr>
                      <w:fldChar w:fldCharType="begin"/>
                    </w:r>
                    <w:r>
                      <w:rPr>
                        <w:rStyle w:val="37"/>
                        <w:rFonts w:ascii="Times New Roman" w:hAnsi="Times New Roman"/>
                        <w:sz w:val="22"/>
                        <w:szCs w:val="22"/>
                      </w:rPr>
                      <w:instrText xml:space="preserve">PAGE  </w:instrText>
                    </w:r>
                    <w:r>
                      <w:rPr>
                        <w:rStyle w:val="37"/>
                        <w:rFonts w:ascii="Times New Roman" w:hAnsi="Times New Roman"/>
                        <w:sz w:val="22"/>
                        <w:szCs w:val="22"/>
                      </w:rPr>
                      <w:fldChar w:fldCharType="separate"/>
                    </w:r>
                    <w:r>
                      <w:rPr>
                        <w:rStyle w:val="37"/>
                        <w:rFonts w:ascii="Times New Roman" w:hAnsi="Times New Roman"/>
                        <w:sz w:val="22"/>
                        <w:szCs w:val="22"/>
                      </w:rPr>
                      <w:t>2</w:t>
                    </w:r>
                    <w:r>
                      <w:rPr>
                        <w:rStyle w:val="37"/>
                        <w:rFonts w:ascii="Times New Roman" w:hAnsi="Times New Roman"/>
                        <w:sz w:val="22"/>
                        <w:szCs w:val="22"/>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posOffset>2688590</wp:posOffset>
              </wp:positionH>
              <wp:positionV relativeFrom="paragraph">
                <wp:posOffset>41275</wp:posOffset>
              </wp:positionV>
              <wp:extent cx="1828800" cy="1828800"/>
              <wp:effectExtent l="0" t="0" r="5715" b="4445"/>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Style w:val="37"/>
                              <w:rFonts w:ascii="Times New Roman" w:hAnsi="Times New Roman"/>
                              <w:sz w:val="22"/>
                              <w:szCs w:val="22"/>
                            </w:rPr>
                          </w:pPr>
                          <w:r>
                            <w:rPr>
                              <w:rStyle w:val="37"/>
                              <w:rFonts w:ascii="Times New Roman" w:hAnsi="Times New Roman"/>
                              <w:sz w:val="22"/>
                              <w:szCs w:val="22"/>
                            </w:rPr>
                            <w:fldChar w:fldCharType="begin"/>
                          </w:r>
                          <w:r>
                            <w:rPr>
                              <w:rStyle w:val="37"/>
                              <w:rFonts w:ascii="Times New Roman" w:hAnsi="Times New Roman"/>
                              <w:sz w:val="22"/>
                              <w:szCs w:val="22"/>
                            </w:rPr>
                            <w:instrText xml:space="preserve">PAGE  </w:instrText>
                          </w:r>
                          <w:r>
                            <w:rPr>
                              <w:rStyle w:val="37"/>
                              <w:rFonts w:ascii="Times New Roman" w:hAnsi="Times New Roman"/>
                              <w:sz w:val="22"/>
                              <w:szCs w:val="22"/>
                            </w:rPr>
                            <w:fldChar w:fldCharType="separate"/>
                          </w:r>
                          <w:r>
                            <w:rPr>
                              <w:rStyle w:val="37"/>
                              <w:rFonts w:ascii="Times New Roman" w:hAnsi="Times New Roman"/>
                              <w:sz w:val="22"/>
                              <w:szCs w:val="22"/>
                            </w:rPr>
                            <w:t>46</w:t>
                          </w:r>
                          <w:r>
                            <w:rPr>
                              <w:rStyle w:val="37"/>
                              <w:rFonts w:ascii="Times New Roman" w:hAnsi="Times New Roman"/>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1.7pt;margin-top:3.25pt;height:144pt;width:144pt;mso-position-horizontal-relative:margin;mso-wrap-style:none;z-index:251661312;mso-width-relative:page;mso-height-relative:page;" filled="f" stroked="f" coordsize="21600,21600" o:gfxdata="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nxBu1gAAAAkBAAAPAAAAAAAAAAEAIAAA&#10;ACIAAABkcnMvZG93bnJldi54bWxQSwECFAAUAAAACACHTuJA+k7mmg4CAAAHBAAADgAAAAAAAAAB&#10;ACAAAAAlAQAAZHJzL2Uyb0RvYy54bWxQSwUGAAAAAAYABgBZAQAApQUAAAAA&#10;">
              <v:fill on="f" focussize="0,0"/>
              <v:stroke on="f" weight="0.5pt"/>
              <v:imagedata o:title=""/>
              <o:lock v:ext="edit" aspectratio="f"/>
              <v:textbox inset="0mm,0mm,0mm,0mm" style="mso-fit-shape-to-text:t;">
                <w:txbxContent>
                  <w:p>
                    <w:pPr>
                      <w:pStyle w:val="22"/>
                      <w:rPr>
                        <w:rStyle w:val="37"/>
                        <w:rFonts w:ascii="Times New Roman" w:hAnsi="Times New Roman"/>
                        <w:sz w:val="22"/>
                        <w:szCs w:val="22"/>
                      </w:rPr>
                    </w:pPr>
                    <w:r>
                      <w:rPr>
                        <w:rStyle w:val="37"/>
                        <w:rFonts w:ascii="Times New Roman" w:hAnsi="Times New Roman"/>
                        <w:sz w:val="22"/>
                        <w:szCs w:val="22"/>
                      </w:rPr>
                      <w:fldChar w:fldCharType="begin"/>
                    </w:r>
                    <w:r>
                      <w:rPr>
                        <w:rStyle w:val="37"/>
                        <w:rFonts w:ascii="Times New Roman" w:hAnsi="Times New Roman"/>
                        <w:sz w:val="22"/>
                        <w:szCs w:val="22"/>
                      </w:rPr>
                      <w:instrText xml:space="preserve">PAGE  </w:instrText>
                    </w:r>
                    <w:r>
                      <w:rPr>
                        <w:rStyle w:val="37"/>
                        <w:rFonts w:ascii="Times New Roman" w:hAnsi="Times New Roman"/>
                        <w:sz w:val="22"/>
                        <w:szCs w:val="22"/>
                      </w:rPr>
                      <w:fldChar w:fldCharType="separate"/>
                    </w:r>
                    <w:r>
                      <w:rPr>
                        <w:rStyle w:val="37"/>
                        <w:rFonts w:ascii="Times New Roman" w:hAnsi="Times New Roman"/>
                        <w:sz w:val="22"/>
                        <w:szCs w:val="22"/>
                      </w:rPr>
                      <w:t>46</w:t>
                    </w:r>
                    <w:r>
                      <w:rPr>
                        <w:rStyle w:val="37"/>
                        <w:rFonts w:ascii="Times New Roman" w:hAnsi="Times New Roman"/>
                        <w:sz w:val="22"/>
                        <w:szCs w:val="22"/>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41275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2"/>
                            <w:rPr>
                              <w:rStyle w:val="37"/>
                              <w:rFonts w:ascii="Times New Roman" w:hAnsi="Times New Roman"/>
                              <w:sz w:val="22"/>
                              <w:szCs w:val="22"/>
                            </w:rPr>
                          </w:pPr>
                          <w:r>
                            <w:rPr>
                              <w:rStyle w:val="37"/>
                              <w:rFonts w:ascii="Times New Roman" w:hAnsi="Times New Roman"/>
                              <w:sz w:val="22"/>
                              <w:szCs w:val="22"/>
                            </w:rPr>
                            <w:fldChar w:fldCharType="begin"/>
                          </w:r>
                          <w:r>
                            <w:rPr>
                              <w:rStyle w:val="37"/>
                              <w:rFonts w:ascii="Times New Roman" w:hAnsi="Times New Roman"/>
                              <w:sz w:val="22"/>
                              <w:szCs w:val="22"/>
                            </w:rPr>
                            <w:instrText xml:space="preserve">PAGE  </w:instrText>
                          </w:r>
                          <w:r>
                            <w:rPr>
                              <w:rStyle w:val="37"/>
                              <w:rFonts w:ascii="Times New Roman" w:hAnsi="Times New Roman"/>
                              <w:sz w:val="22"/>
                              <w:szCs w:val="22"/>
                            </w:rPr>
                            <w:fldChar w:fldCharType="separate"/>
                          </w:r>
                          <w:r>
                            <w:rPr>
                              <w:rStyle w:val="37"/>
                              <w:rFonts w:ascii="Times New Roman" w:hAnsi="Times New Roman"/>
                              <w:sz w:val="22"/>
                              <w:szCs w:val="22"/>
                            </w:rPr>
                            <w:t>65</w:t>
                          </w:r>
                          <w:r>
                            <w:rPr>
                              <w:rStyle w:val="37"/>
                              <w:rFonts w:ascii="Times New Roman" w:hAnsi="Times New Roman"/>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3.25pt;height:144pt;width:144pt;mso-position-horizontal:center;mso-position-horizontal-relative:margin;mso-wrap-style:none;z-index:251663360;mso-width-relative:page;mso-height-relative:page;" filled="f" stroked="f" coordsize="21600,21600" o:gfxdata="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IoHUT1AAAAAYBAAAPAAAAAAAA&#10;AAEAIAAAACIAAABkcnMvZG93bnJldi54bWxQSwECFAAUAAAACACHTuJAT4mvvBYCAAAVBAAADgAA&#10;AAAAAAABACAAAAAjAQAAZHJzL2Uyb0RvYy54bWxQSwUGAAAAAAYABgBZAQAAqwUAAAAA&#10;">
              <v:fill on="f" focussize="0,0"/>
              <v:stroke on="f" weight="0.5pt"/>
              <v:imagedata o:title=""/>
              <o:lock v:ext="edit" aspectratio="f"/>
              <v:textbox inset="0mm,0mm,0mm,0mm" style="mso-fit-shape-to-text:t;">
                <w:txbxContent>
                  <w:p>
                    <w:pPr>
                      <w:pStyle w:val="22"/>
                      <w:rPr>
                        <w:rStyle w:val="37"/>
                        <w:rFonts w:ascii="Times New Roman" w:hAnsi="Times New Roman"/>
                        <w:sz w:val="22"/>
                        <w:szCs w:val="22"/>
                      </w:rPr>
                    </w:pPr>
                    <w:r>
                      <w:rPr>
                        <w:rStyle w:val="37"/>
                        <w:rFonts w:ascii="Times New Roman" w:hAnsi="Times New Roman"/>
                        <w:sz w:val="22"/>
                        <w:szCs w:val="22"/>
                      </w:rPr>
                      <w:fldChar w:fldCharType="begin"/>
                    </w:r>
                    <w:r>
                      <w:rPr>
                        <w:rStyle w:val="37"/>
                        <w:rFonts w:ascii="Times New Roman" w:hAnsi="Times New Roman"/>
                        <w:sz w:val="22"/>
                        <w:szCs w:val="22"/>
                      </w:rPr>
                      <w:instrText xml:space="preserve">PAGE  </w:instrText>
                    </w:r>
                    <w:r>
                      <w:rPr>
                        <w:rStyle w:val="37"/>
                        <w:rFonts w:ascii="Times New Roman" w:hAnsi="Times New Roman"/>
                        <w:sz w:val="22"/>
                        <w:szCs w:val="22"/>
                      </w:rPr>
                      <w:fldChar w:fldCharType="separate"/>
                    </w:r>
                    <w:r>
                      <w:rPr>
                        <w:rStyle w:val="37"/>
                        <w:rFonts w:ascii="Times New Roman" w:hAnsi="Times New Roman"/>
                        <w:sz w:val="22"/>
                        <w:szCs w:val="22"/>
                      </w:rPr>
                      <w:t>65</w:t>
                    </w:r>
                    <w:r>
                      <w:rPr>
                        <w:rStyle w:val="37"/>
                        <w:rFonts w:ascii="Times New Roman" w:hAnsi="Times New Roman"/>
                        <w:sz w:val="22"/>
                        <w:szCs w:val="2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301" w:h="9081" w:hRule="exact" w:wrap="around" w:vAnchor="text" w:hAnchor="page" w:x="15728" w:y="553"/>
      <w:pBdr>
        <w:bottom w:val="double" w:color="auto" w:sz="4" w:space="1"/>
      </w:pBdr>
      <w:rPr>
        <w:sz w:val="18"/>
      </w:rPr>
    </w:pPr>
    <w:r>
      <w:rPr>
        <w:rFonts w:hint="eastAsia"/>
        <w:sz w:val="18"/>
      </w:rPr>
      <w:t>澜沧江古水（含库区）至苗尾河段水电规划                                                    11 综合评价</w:t>
    </w:r>
  </w:p>
  <w:p>
    <w:pPr>
      <w:pStyle w:val="2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948FF"/>
    <w:multiLevelType w:val="multilevel"/>
    <w:tmpl w:val="131948FF"/>
    <w:lvl w:ilvl="0" w:tentative="0">
      <w:start w:val="1"/>
      <w:numFmt w:val="decimal"/>
      <w:suff w:val="space"/>
      <w:lvlText w:val="（%1）"/>
      <w:lvlJc w:val="left"/>
      <w:pPr>
        <w:ind w:left="996" w:hanging="420"/>
      </w:pPr>
      <w:rPr>
        <w:rFonts w:hint="eastAsia"/>
      </w:rPr>
    </w:lvl>
    <w:lvl w:ilvl="1" w:tentative="0">
      <w:start w:val="1"/>
      <w:numFmt w:val="lowerLetter"/>
      <w:lvlText w:val="%2)"/>
      <w:lvlJc w:val="left"/>
      <w:pPr>
        <w:ind w:left="1416" w:hanging="420"/>
      </w:pPr>
    </w:lvl>
    <w:lvl w:ilvl="2" w:tentative="0">
      <w:start w:val="1"/>
      <w:numFmt w:val="lowerRoman"/>
      <w:lvlText w:val="%3."/>
      <w:lvlJc w:val="right"/>
      <w:pPr>
        <w:ind w:left="1836" w:hanging="420"/>
      </w:pPr>
    </w:lvl>
    <w:lvl w:ilvl="3" w:tentative="0">
      <w:start w:val="1"/>
      <w:numFmt w:val="decimal"/>
      <w:lvlText w:val="%4."/>
      <w:lvlJc w:val="left"/>
      <w:pPr>
        <w:ind w:left="2256" w:hanging="420"/>
      </w:pPr>
    </w:lvl>
    <w:lvl w:ilvl="4" w:tentative="0">
      <w:start w:val="1"/>
      <w:numFmt w:val="lowerLetter"/>
      <w:lvlText w:val="%5)"/>
      <w:lvlJc w:val="left"/>
      <w:pPr>
        <w:ind w:left="2676" w:hanging="420"/>
      </w:pPr>
    </w:lvl>
    <w:lvl w:ilvl="5" w:tentative="0">
      <w:start w:val="1"/>
      <w:numFmt w:val="lowerRoman"/>
      <w:lvlText w:val="%6."/>
      <w:lvlJc w:val="right"/>
      <w:pPr>
        <w:ind w:left="3096" w:hanging="420"/>
      </w:pPr>
    </w:lvl>
    <w:lvl w:ilvl="6" w:tentative="0">
      <w:start w:val="1"/>
      <w:numFmt w:val="decimal"/>
      <w:lvlText w:val="%7."/>
      <w:lvlJc w:val="left"/>
      <w:pPr>
        <w:ind w:left="3516" w:hanging="420"/>
      </w:pPr>
    </w:lvl>
    <w:lvl w:ilvl="7" w:tentative="0">
      <w:start w:val="1"/>
      <w:numFmt w:val="lowerLetter"/>
      <w:lvlText w:val="%8)"/>
      <w:lvlJc w:val="left"/>
      <w:pPr>
        <w:ind w:left="3936" w:hanging="420"/>
      </w:pPr>
    </w:lvl>
    <w:lvl w:ilvl="8" w:tentative="0">
      <w:start w:val="1"/>
      <w:numFmt w:val="lowerRoman"/>
      <w:lvlText w:val="%9."/>
      <w:lvlJc w:val="right"/>
      <w:pPr>
        <w:ind w:left="4356" w:hanging="420"/>
      </w:pPr>
    </w:lvl>
  </w:abstractNum>
  <w:abstractNum w:abstractNumId="1">
    <w:nsid w:val="21101643"/>
    <w:multiLevelType w:val="multilevel"/>
    <w:tmpl w:val="21101643"/>
    <w:lvl w:ilvl="0" w:tentative="0">
      <w:start w:val="1"/>
      <w:numFmt w:val="decimal"/>
      <w:suff w:val="space"/>
      <w:lvlText w:val="（%1）"/>
      <w:lvlJc w:val="left"/>
      <w:pPr>
        <w:ind w:left="996" w:hanging="420"/>
      </w:pPr>
      <w:rPr>
        <w:rFonts w:hint="default" w:ascii="Times New Roman" w:hAnsi="Times New Roman" w:cs="Times New Roman"/>
        <w:sz w:val="28"/>
      </w:rPr>
    </w:lvl>
    <w:lvl w:ilvl="1" w:tentative="0">
      <w:start w:val="1"/>
      <w:numFmt w:val="lowerLetter"/>
      <w:lvlText w:val="%2)"/>
      <w:lvlJc w:val="left"/>
      <w:pPr>
        <w:ind w:left="1416" w:hanging="420"/>
      </w:pPr>
    </w:lvl>
    <w:lvl w:ilvl="2" w:tentative="0">
      <w:start w:val="1"/>
      <w:numFmt w:val="lowerRoman"/>
      <w:lvlText w:val="%3."/>
      <w:lvlJc w:val="right"/>
      <w:pPr>
        <w:ind w:left="1836" w:hanging="420"/>
      </w:pPr>
    </w:lvl>
    <w:lvl w:ilvl="3" w:tentative="0">
      <w:start w:val="1"/>
      <w:numFmt w:val="decimal"/>
      <w:lvlText w:val="%4."/>
      <w:lvlJc w:val="left"/>
      <w:pPr>
        <w:ind w:left="2256" w:hanging="420"/>
      </w:pPr>
    </w:lvl>
    <w:lvl w:ilvl="4" w:tentative="0">
      <w:start w:val="1"/>
      <w:numFmt w:val="lowerLetter"/>
      <w:lvlText w:val="%5)"/>
      <w:lvlJc w:val="left"/>
      <w:pPr>
        <w:ind w:left="2676" w:hanging="420"/>
      </w:pPr>
    </w:lvl>
    <w:lvl w:ilvl="5" w:tentative="0">
      <w:start w:val="1"/>
      <w:numFmt w:val="lowerRoman"/>
      <w:lvlText w:val="%6."/>
      <w:lvlJc w:val="right"/>
      <w:pPr>
        <w:ind w:left="3096" w:hanging="420"/>
      </w:pPr>
    </w:lvl>
    <w:lvl w:ilvl="6" w:tentative="0">
      <w:start w:val="1"/>
      <w:numFmt w:val="decimal"/>
      <w:lvlText w:val="%7."/>
      <w:lvlJc w:val="left"/>
      <w:pPr>
        <w:ind w:left="3516" w:hanging="420"/>
      </w:pPr>
    </w:lvl>
    <w:lvl w:ilvl="7" w:tentative="0">
      <w:start w:val="1"/>
      <w:numFmt w:val="lowerLetter"/>
      <w:lvlText w:val="%8)"/>
      <w:lvlJc w:val="left"/>
      <w:pPr>
        <w:ind w:left="3936" w:hanging="420"/>
      </w:pPr>
    </w:lvl>
    <w:lvl w:ilvl="8" w:tentative="0">
      <w:start w:val="1"/>
      <w:numFmt w:val="lowerRoman"/>
      <w:lvlText w:val="%9."/>
      <w:lvlJc w:val="right"/>
      <w:pPr>
        <w:ind w:left="4356" w:hanging="420"/>
      </w:pPr>
    </w:lvl>
  </w:abstractNum>
  <w:abstractNum w:abstractNumId="2">
    <w:nsid w:val="2FEA73A5"/>
    <w:multiLevelType w:val="multilevel"/>
    <w:tmpl w:val="2FEA73A5"/>
    <w:lvl w:ilvl="0" w:tentative="0">
      <w:start w:val="2"/>
      <w:numFmt w:val="decimal"/>
      <w:pStyle w:val="2"/>
      <w:isLgl/>
      <w:lvlText w:val="%1"/>
      <w:lvlJc w:val="left"/>
      <w:pPr>
        <w:tabs>
          <w:tab w:val="left" w:pos="431"/>
        </w:tabs>
        <w:ind w:left="432" w:hanging="432"/>
      </w:pPr>
      <w:rPr>
        <w:rFonts w:hint="default" w:ascii="Arial" w:hAnsi="Arial" w:eastAsia="黑体" w:cs="Times New Roman"/>
        <w:b w:val="0"/>
        <w:i w:val="0"/>
        <w:sz w:val="32"/>
        <w:szCs w:val="32"/>
      </w:rPr>
    </w:lvl>
    <w:lvl w:ilvl="1" w:tentative="0">
      <w:start w:val="1"/>
      <w:numFmt w:val="decimal"/>
      <w:pStyle w:val="4"/>
      <w:suff w:val="space"/>
      <w:lvlText w:val="%1.%2"/>
      <w:lvlJc w:val="left"/>
      <w:pPr>
        <w:ind w:left="576" w:hanging="576"/>
      </w:pPr>
      <w:rPr>
        <w:rFonts w:hint="default" w:ascii="Arial" w:hAnsi="Arial" w:eastAsia="黑体"/>
        <w:b w:val="0"/>
        <w:bCs/>
        <w:i w:val="0"/>
        <w:sz w:val="30"/>
        <w:szCs w:val="30"/>
      </w:rPr>
    </w:lvl>
    <w:lvl w:ilvl="2" w:tentative="0">
      <w:start w:val="1"/>
      <w:numFmt w:val="decimal"/>
      <w:pStyle w:val="5"/>
      <w:suff w:val="space"/>
      <w:lvlText w:val="%1.%2.%3"/>
      <w:lvlJc w:val="left"/>
      <w:pPr>
        <w:ind w:left="720" w:hanging="720"/>
      </w:pPr>
      <w:rPr>
        <w:rFonts w:hint="default" w:ascii="Arial" w:hAnsi="Arial" w:eastAsia="黑体"/>
        <w:b w:val="0"/>
        <w:bCs/>
        <w:i w:val="0"/>
        <w:sz w:val="28"/>
        <w:szCs w:val="28"/>
      </w:rPr>
    </w:lvl>
    <w:lvl w:ilvl="3" w:tentative="0">
      <w:start w:val="1"/>
      <w:numFmt w:val="decimal"/>
      <w:pStyle w:val="6"/>
      <w:suff w:val="space"/>
      <w:lvlText w:val="%1.%2.%3.%4"/>
      <w:lvlJc w:val="left"/>
      <w:pPr>
        <w:ind w:left="864" w:hanging="864"/>
      </w:pPr>
      <w:rPr>
        <w:rFonts w:hint="default" w:ascii="Times New Roman" w:hAnsi="Times New Roman"/>
        <w:b/>
        <w:bCs/>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75575C33"/>
    <w:multiLevelType w:val="multilevel"/>
    <w:tmpl w:val="75575C33"/>
    <w:lvl w:ilvl="0" w:tentative="0">
      <w:start w:val="1"/>
      <w:numFmt w:val="decimal"/>
      <w:suff w:val="space"/>
      <w:lvlText w:val="（%1）"/>
      <w:lvlJc w:val="left"/>
      <w:pPr>
        <w:ind w:left="996" w:hanging="420"/>
      </w:pPr>
      <w:rPr>
        <w:rFonts w:hint="default" w:ascii="Times New Roman" w:hAnsi="Times New Roman" w:cs="Times New Roman"/>
        <w:sz w:val="28"/>
      </w:rPr>
    </w:lvl>
    <w:lvl w:ilvl="1" w:tentative="0">
      <w:start w:val="1"/>
      <w:numFmt w:val="lowerLetter"/>
      <w:lvlText w:val="%2)"/>
      <w:lvlJc w:val="left"/>
      <w:pPr>
        <w:ind w:left="1416" w:hanging="420"/>
      </w:pPr>
    </w:lvl>
    <w:lvl w:ilvl="2" w:tentative="0">
      <w:start w:val="1"/>
      <w:numFmt w:val="lowerRoman"/>
      <w:lvlText w:val="%3."/>
      <w:lvlJc w:val="right"/>
      <w:pPr>
        <w:ind w:left="1836" w:hanging="420"/>
      </w:pPr>
    </w:lvl>
    <w:lvl w:ilvl="3" w:tentative="0">
      <w:start w:val="1"/>
      <w:numFmt w:val="decimal"/>
      <w:lvlText w:val="%4."/>
      <w:lvlJc w:val="left"/>
      <w:pPr>
        <w:ind w:left="2256" w:hanging="420"/>
      </w:pPr>
    </w:lvl>
    <w:lvl w:ilvl="4" w:tentative="0">
      <w:start w:val="1"/>
      <w:numFmt w:val="lowerLetter"/>
      <w:lvlText w:val="%5)"/>
      <w:lvlJc w:val="left"/>
      <w:pPr>
        <w:ind w:left="2676" w:hanging="420"/>
      </w:pPr>
    </w:lvl>
    <w:lvl w:ilvl="5" w:tentative="0">
      <w:start w:val="1"/>
      <w:numFmt w:val="lowerRoman"/>
      <w:lvlText w:val="%6."/>
      <w:lvlJc w:val="right"/>
      <w:pPr>
        <w:ind w:left="3096" w:hanging="420"/>
      </w:pPr>
    </w:lvl>
    <w:lvl w:ilvl="6" w:tentative="0">
      <w:start w:val="1"/>
      <w:numFmt w:val="decimal"/>
      <w:lvlText w:val="%7."/>
      <w:lvlJc w:val="left"/>
      <w:pPr>
        <w:ind w:left="3516" w:hanging="420"/>
      </w:pPr>
    </w:lvl>
    <w:lvl w:ilvl="7" w:tentative="0">
      <w:start w:val="1"/>
      <w:numFmt w:val="lowerLetter"/>
      <w:lvlText w:val="%8)"/>
      <w:lvlJc w:val="left"/>
      <w:pPr>
        <w:ind w:left="3936" w:hanging="420"/>
      </w:pPr>
    </w:lvl>
    <w:lvl w:ilvl="8" w:tentative="0">
      <w:start w:val="1"/>
      <w:numFmt w:val="lowerRoman"/>
      <w:lvlText w:val="%9."/>
      <w:lvlJc w:val="right"/>
      <w:pPr>
        <w:ind w:left="4356" w:hanging="42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check">
    <w15:presenceInfo w15:providerId="None" w15:userId="Acheck"/>
  </w15:person>
  <w15:person w15:author="姚海丽">
    <w15:presenceInfo w15:providerId="None" w15:userId="姚海丽"/>
  </w15:person>
  <w15:person w15:author="陈少妹">
    <w15:presenceInfo w15:providerId="None" w15:userId="陈少妹"/>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D2B"/>
    <w:rsid w:val="00001A21"/>
    <w:rsid w:val="000025CD"/>
    <w:rsid w:val="000028A8"/>
    <w:rsid w:val="000051B7"/>
    <w:rsid w:val="00006BCC"/>
    <w:rsid w:val="00010AFD"/>
    <w:rsid w:val="00010B24"/>
    <w:rsid w:val="00011118"/>
    <w:rsid w:val="00012D14"/>
    <w:rsid w:val="0001399D"/>
    <w:rsid w:val="00013ABE"/>
    <w:rsid w:val="00013B1F"/>
    <w:rsid w:val="00013DD8"/>
    <w:rsid w:val="00014317"/>
    <w:rsid w:val="000220FB"/>
    <w:rsid w:val="000254A7"/>
    <w:rsid w:val="00026401"/>
    <w:rsid w:val="000266D0"/>
    <w:rsid w:val="00026754"/>
    <w:rsid w:val="000308F8"/>
    <w:rsid w:val="00030BFE"/>
    <w:rsid w:val="00037405"/>
    <w:rsid w:val="000374CD"/>
    <w:rsid w:val="00040964"/>
    <w:rsid w:val="0004183E"/>
    <w:rsid w:val="000438E9"/>
    <w:rsid w:val="00044293"/>
    <w:rsid w:val="00044371"/>
    <w:rsid w:val="00045E78"/>
    <w:rsid w:val="0004648B"/>
    <w:rsid w:val="00047315"/>
    <w:rsid w:val="00047D28"/>
    <w:rsid w:val="000504C0"/>
    <w:rsid w:val="00051C9A"/>
    <w:rsid w:val="00054E8A"/>
    <w:rsid w:val="0005571E"/>
    <w:rsid w:val="00057A53"/>
    <w:rsid w:val="000607CE"/>
    <w:rsid w:val="00063476"/>
    <w:rsid w:val="00064D82"/>
    <w:rsid w:val="00065B29"/>
    <w:rsid w:val="00065E81"/>
    <w:rsid w:val="0006654B"/>
    <w:rsid w:val="00066D32"/>
    <w:rsid w:val="00067A55"/>
    <w:rsid w:val="00067FE8"/>
    <w:rsid w:val="00070865"/>
    <w:rsid w:val="00070E33"/>
    <w:rsid w:val="0007211E"/>
    <w:rsid w:val="00072347"/>
    <w:rsid w:val="0007317A"/>
    <w:rsid w:val="000739FB"/>
    <w:rsid w:val="000751D3"/>
    <w:rsid w:val="0007548F"/>
    <w:rsid w:val="00076DB8"/>
    <w:rsid w:val="00080DF4"/>
    <w:rsid w:val="00082C57"/>
    <w:rsid w:val="000835C0"/>
    <w:rsid w:val="00085E7C"/>
    <w:rsid w:val="0008695F"/>
    <w:rsid w:val="00086ADF"/>
    <w:rsid w:val="000871D7"/>
    <w:rsid w:val="000914B4"/>
    <w:rsid w:val="0009250E"/>
    <w:rsid w:val="000926CA"/>
    <w:rsid w:val="00092A11"/>
    <w:rsid w:val="00093009"/>
    <w:rsid w:val="00094E01"/>
    <w:rsid w:val="000A0AD6"/>
    <w:rsid w:val="000A0FE4"/>
    <w:rsid w:val="000A102E"/>
    <w:rsid w:val="000A1ACF"/>
    <w:rsid w:val="000A2385"/>
    <w:rsid w:val="000A3A53"/>
    <w:rsid w:val="000A4BF2"/>
    <w:rsid w:val="000A4EFC"/>
    <w:rsid w:val="000A5469"/>
    <w:rsid w:val="000A5CDB"/>
    <w:rsid w:val="000A688C"/>
    <w:rsid w:val="000A6AA1"/>
    <w:rsid w:val="000A6CFF"/>
    <w:rsid w:val="000A7007"/>
    <w:rsid w:val="000A7CE2"/>
    <w:rsid w:val="000B1934"/>
    <w:rsid w:val="000B3362"/>
    <w:rsid w:val="000B3E6C"/>
    <w:rsid w:val="000B4CA0"/>
    <w:rsid w:val="000B550D"/>
    <w:rsid w:val="000B6361"/>
    <w:rsid w:val="000B76A2"/>
    <w:rsid w:val="000B7E3D"/>
    <w:rsid w:val="000C01C6"/>
    <w:rsid w:val="000C16A6"/>
    <w:rsid w:val="000C427C"/>
    <w:rsid w:val="000C60AF"/>
    <w:rsid w:val="000C60D5"/>
    <w:rsid w:val="000C668A"/>
    <w:rsid w:val="000C6ED5"/>
    <w:rsid w:val="000D0205"/>
    <w:rsid w:val="000D0502"/>
    <w:rsid w:val="000D09CC"/>
    <w:rsid w:val="000D215B"/>
    <w:rsid w:val="000D21CA"/>
    <w:rsid w:val="000D22E6"/>
    <w:rsid w:val="000D2860"/>
    <w:rsid w:val="000D3A86"/>
    <w:rsid w:val="000D4BF9"/>
    <w:rsid w:val="000D5617"/>
    <w:rsid w:val="000D57A7"/>
    <w:rsid w:val="000D5847"/>
    <w:rsid w:val="000E0F68"/>
    <w:rsid w:val="000E53B6"/>
    <w:rsid w:val="000E5CCF"/>
    <w:rsid w:val="000E6B90"/>
    <w:rsid w:val="000E74D1"/>
    <w:rsid w:val="000E7AA1"/>
    <w:rsid w:val="000F21E4"/>
    <w:rsid w:val="000F2E6D"/>
    <w:rsid w:val="000F37FB"/>
    <w:rsid w:val="000F4779"/>
    <w:rsid w:val="000F56B7"/>
    <w:rsid w:val="000F6B8A"/>
    <w:rsid w:val="000F7530"/>
    <w:rsid w:val="000F7E06"/>
    <w:rsid w:val="00101368"/>
    <w:rsid w:val="00101D0E"/>
    <w:rsid w:val="00103672"/>
    <w:rsid w:val="001043E4"/>
    <w:rsid w:val="00105092"/>
    <w:rsid w:val="0010546D"/>
    <w:rsid w:val="00111B29"/>
    <w:rsid w:val="001125C7"/>
    <w:rsid w:val="00112A68"/>
    <w:rsid w:val="00113D67"/>
    <w:rsid w:val="00113E72"/>
    <w:rsid w:val="00115158"/>
    <w:rsid w:val="0011583D"/>
    <w:rsid w:val="0011622F"/>
    <w:rsid w:val="001206F8"/>
    <w:rsid w:val="00120BB6"/>
    <w:rsid w:val="00120C45"/>
    <w:rsid w:val="00121028"/>
    <w:rsid w:val="001220D8"/>
    <w:rsid w:val="0012288E"/>
    <w:rsid w:val="001256C5"/>
    <w:rsid w:val="00132686"/>
    <w:rsid w:val="001329FD"/>
    <w:rsid w:val="00132FEA"/>
    <w:rsid w:val="00132FF6"/>
    <w:rsid w:val="001356CA"/>
    <w:rsid w:val="00135CA5"/>
    <w:rsid w:val="001360FF"/>
    <w:rsid w:val="00136318"/>
    <w:rsid w:val="00136452"/>
    <w:rsid w:val="001373B2"/>
    <w:rsid w:val="00137599"/>
    <w:rsid w:val="001378FC"/>
    <w:rsid w:val="001379E1"/>
    <w:rsid w:val="00137C2E"/>
    <w:rsid w:val="00141229"/>
    <w:rsid w:val="0014252D"/>
    <w:rsid w:val="00142ACB"/>
    <w:rsid w:val="0014360E"/>
    <w:rsid w:val="001447E7"/>
    <w:rsid w:val="00144BBD"/>
    <w:rsid w:val="0014540A"/>
    <w:rsid w:val="001466F1"/>
    <w:rsid w:val="001475D0"/>
    <w:rsid w:val="001478A9"/>
    <w:rsid w:val="001501B7"/>
    <w:rsid w:val="001503F9"/>
    <w:rsid w:val="001515EB"/>
    <w:rsid w:val="00155363"/>
    <w:rsid w:val="00155732"/>
    <w:rsid w:val="00155D61"/>
    <w:rsid w:val="00155DBE"/>
    <w:rsid w:val="00156B17"/>
    <w:rsid w:val="0015724B"/>
    <w:rsid w:val="00160899"/>
    <w:rsid w:val="001612F5"/>
    <w:rsid w:val="001631B3"/>
    <w:rsid w:val="001638D1"/>
    <w:rsid w:val="00163AE2"/>
    <w:rsid w:val="00166547"/>
    <w:rsid w:val="001667A1"/>
    <w:rsid w:val="0017005B"/>
    <w:rsid w:val="001702DB"/>
    <w:rsid w:val="001703F6"/>
    <w:rsid w:val="00170B6D"/>
    <w:rsid w:val="00171938"/>
    <w:rsid w:val="00172791"/>
    <w:rsid w:val="00172B22"/>
    <w:rsid w:val="00172FDD"/>
    <w:rsid w:val="001745DF"/>
    <w:rsid w:val="001748D4"/>
    <w:rsid w:val="00175037"/>
    <w:rsid w:val="001750C7"/>
    <w:rsid w:val="001753DE"/>
    <w:rsid w:val="00175642"/>
    <w:rsid w:val="0017591B"/>
    <w:rsid w:val="0017654A"/>
    <w:rsid w:val="00177CB8"/>
    <w:rsid w:val="00181800"/>
    <w:rsid w:val="0018377F"/>
    <w:rsid w:val="001838A4"/>
    <w:rsid w:val="001857D3"/>
    <w:rsid w:val="00186909"/>
    <w:rsid w:val="00186E42"/>
    <w:rsid w:val="0018780B"/>
    <w:rsid w:val="00192517"/>
    <w:rsid w:val="001932E8"/>
    <w:rsid w:val="00193FB3"/>
    <w:rsid w:val="0019430F"/>
    <w:rsid w:val="00194920"/>
    <w:rsid w:val="00195D38"/>
    <w:rsid w:val="001A07F9"/>
    <w:rsid w:val="001A0D32"/>
    <w:rsid w:val="001A1E37"/>
    <w:rsid w:val="001A23AF"/>
    <w:rsid w:val="001A24D2"/>
    <w:rsid w:val="001A2CB8"/>
    <w:rsid w:val="001A3323"/>
    <w:rsid w:val="001A3471"/>
    <w:rsid w:val="001A3A43"/>
    <w:rsid w:val="001A446F"/>
    <w:rsid w:val="001A64B1"/>
    <w:rsid w:val="001A6C62"/>
    <w:rsid w:val="001A6EB6"/>
    <w:rsid w:val="001B2E95"/>
    <w:rsid w:val="001B33D2"/>
    <w:rsid w:val="001B368C"/>
    <w:rsid w:val="001B4CC3"/>
    <w:rsid w:val="001B597C"/>
    <w:rsid w:val="001B6DAF"/>
    <w:rsid w:val="001B7C02"/>
    <w:rsid w:val="001C026A"/>
    <w:rsid w:val="001C0525"/>
    <w:rsid w:val="001C0536"/>
    <w:rsid w:val="001C0605"/>
    <w:rsid w:val="001C2036"/>
    <w:rsid w:val="001C2DE2"/>
    <w:rsid w:val="001C3C9D"/>
    <w:rsid w:val="001C5138"/>
    <w:rsid w:val="001C5FEE"/>
    <w:rsid w:val="001C64C6"/>
    <w:rsid w:val="001C6632"/>
    <w:rsid w:val="001C6A79"/>
    <w:rsid w:val="001C6D60"/>
    <w:rsid w:val="001C72BE"/>
    <w:rsid w:val="001D0529"/>
    <w:rsid w:val="001D1340"/>
    <w:rsid w:val="001D1425"/>
    <w:rsid w:val="001D1DE4"/>
    <w:rsid w:val="001D56CC"/>
    <w:rsid w:val="001D5AA2"/>
    <w:rsid w:val="001D6583"/>
    <w:rsid w:val="001D6CE4"/>
    <w:rsid w:val="001E2F25"/>
    <w:rsid w:val="001E35B1"/>
    <w:rsid w:val="001E4E12"/>
    <w:rsid w:val="001E5DD2"/>
    <w:rsid w:val="001E7736"/>
    <w:rsid w:val="001F0242"/>
    <w:rsid w:val="001F05FB"/>
    <w:rsid w:val="001F3AD8"/>
    <w:rsid w:val="001F4B76"/>
    <w:rsid w:val="001F58B8"/>
    <w:rsid w:val="00206F1C"/>
    <w:rsid w:val="00207589"/>
    <w:rsid w:val="0020771A"/>
    <w:rsid w:val="002115DB"/>
    <w:rsid w:val="00211BFE"/>
    <w:rsid w:val="00213AA1"/>
    <w:rsid w:val="00215E03"/>
    <w:rsid w:val="002168E0"/>
    <w:rsid w:val="00217B79"/>
    <w:rsid w:val="00222283"/>
    <w:rsid w:val="0022294E"/>
    <w:rsid w:val="00224C1F"/>
    <w:rsid w:val="00225CB3"/>
    <w:rsid w:val="00226252"/>
    <w:rsid w:val="002268B6"/>
    <w:rsid w:val="00227920"/>
    <w:rsid w:val="00230D36"/>
    <w:rsid w:val="0023180F"/>
    <w:rsid w:val="00232E06"/>
    <w:rsid w:val="00234B77"/>
    <w:rsid w:val="00235EF2"/>
    <w:rsid w:val="00236998"/>
    <w:rsid w:val="00240536"/>
    <w:rsid w:val="0024070A"/>
    <w:rsid w:val="00240AA4"/>
    <w:rsid w:val="0024225B"/>
    <w:rsid w:val="00243143"/>
    <w:rsid w:val="00246D59"/>
    <w:rsid w:val="00247FE1"/>
    <w:rsid w:val="00250783"/>
    <w:rsid w:val="00250BB7"/>
    <w:rsid w:val="00251C6D"/>
    <w:rsid w:val="00253FB0"/>
    <w:rsid w:val="002556BB"/>
    <w:rsid w:val="0025665B"/>
    <w:rsid w:val="002573D9"/>
    <w:rsid w:val="00257F45"/>
    <w:rsid w:val="002608AC"/>
    <w:rsid w:val="00262AF9"/>
    <w:rsid w:val="00263017"/>
    <w:rsid w:val="00263B46"/>
    <w:rsid w:val="00264327"/>
    <w:rsid w:val="002644B9"/>
    <w:rsid w:val="00265A3A"/>
    <w:rsid w:val="00266A05"/>
    <w:rsid w:val="00267AC2"/>
    <w:rsid w:val="00270C60"/>
    <w:rsid w:val="00271B6E"/>
    <w:rsid w:val="0027273D"/>
    <w:rsid w:val="00273BE4"/>
    <w:rsid w:val="00274509"/>
    <w:rsid w:val="002753E1"/>
    <w:rsid w:val="0027560A"/>
    <w:rsid w:val="002771BB"/>
    <w:rsid w:val="00277CCC"/>
    <w:rsid w:val="00280757"/>
    <w:rsid w:val="0028193B"/>
    <w:rsid w:val="00281C33"/>
    <w:rsid w:val="00281C56"/>
    <w:rsid w:val="00281F85"/>
    <w:rsid w:val="00282485"/>
    <w:rsid w:val="002824DA"/>
    <w:rsid w:val="00282B35"/>
    <w:rsid w:val="00282F5F"/>
    <w:rsid w:val="002834E6"/>
    <w:rsid w:val="00284BB2"/>
    <w:rsid w:val="002856D7"/>
    <w:rsid w:val="00285B4D"/>
    <w:rsid w:val="00285CC1"/>
    <w:rsid w:val="00285FBA"/>
    <w:rsid w:val="00287984"/>
    <w:rsid w:val="00287A16"/>
    <w:rsid w:val="00287F45"/>
    <w:rsid w:val="00290AF7"/>
    <w:rsid w:val="00290D57"/>
    <w:rsid w:val="00291A1B"/>
    <w:rsid w:val="00292C1F"/>
    <w:rsid w:val="00292F3D"/>
    <w:rsid w:val="002933AE"/>
    <w:rsid w:val="002939EF"/>
    <w:rsid w:val="00293AAE"/>
    <w:rsid w:val="00294D59"/>
    <w:rsid w:val="002951A1"/>
    <w:rsid w:val="00295F60"/>
    <w:rsid w:val="00296FA3"/>
    <w:rsid w:val="00297CD9"/>
    <w:rsid w:val="002A0BA6"/>
    <w:rsid w:val="002A2FE5"/>
    <w:rsid w:val="002A4DCF"/>
    <w:rsid w:val="002A5986"/>
    <w:rsid w:val="002A6655"/>
    <w:rsid w:val="002A7865"/>
    <w:rsid w:val="002B01E0"/>
    <w:rsid w:val="002B0ADD"/>
    <w:rsid w:val="002B2990"/>
    <w:rsid w:val="002B346B"/>
    <w:rsid w:val="002B3DEC"/>
    <w:rsid w:val="002B61CC"/>
    <w:rsid w:val="002C048F"/>
    <w:rsid w:val="002C0573"/>
    <w:rsid w:val="002C0F2E"/>
    <w:rsid w:val="002C1670"/>
    <w:rsid w:val="002C1BB6"/>
    <w:rsid w:val="002C4C7D"/>
    <w:rsid w:val="002C5A9F"/>
    <w:rsid w:val="002C5D66"/>
    <w:rsid w:val="002C772F"/>
    <w:rsid w:val="002D1B06"/>
    <w:rsid w:val="002D3597"/>
    <w:rsid w:val="002D4082"/>
    <w:rsid w:val="002D47DB"/>
    <w:rsid w:val="002D6FC5"/>
    <w:rsid w:val="002D7A81"/>
    <w:rsid w:val="002D7D87"/>
    <w:rsid w:val="002E3F49"/>
    <w:rsid w:val="002E52AB"/>
    <w:rsid w:val="002E5667"/>
    <w:rsid w:val="002E5847"/>
    <w:rsid w:val="002E5C1E"/>
    <w:rsid w:val="002E661A"/>
    <w:rsid w:val="002F0C2D"/>
    <w:rsid w:val="002F18E2"/>
    <w:rsid w:val="002F1993"/>
    <w:rsid w:val="002F2939"/>
    <w:rsid w:val="002F34B3"/>
    <w:rsid w:val="002F6C1B"/>
    <w:rsid w:val="00300FCA"/>
    <w:rsid w:val="00300FEF"/>
    <w:rsid w:val="00301C34"/>
    <w:rsid w:val="003029E8"/>
    <w:rsid w:val="003058A6"/>
    <w:rsid w:val="00306382"/>
    <w:rsid w:val="003071F2"/>
    <w:rsid w:val="00307B94"/>
    <w:rsid w:val="00311497"/>
    <w:rsid w:val="00311D11"/>
    <w:rsid w:val="0031250F"/>
    <w:rsid w:val="003138E5"/>
    <w:rsid w:val="00313A65"/>
    <w:rsid w:val="00313A9E"/>
    <w:rsid w:val="00313DC1"/>
    <w:rsid w:val="00315269"/>
    <w:rsid w:val="00315360"/>
    <w:rsid w:val="00316850"/>
    <w:rsid w:val="00320426"/>
    <w:rsid w:val="0032102F"/>
    <w:rsid w:val="00321150"/>
    <w:rsid w:val="0032169F"/>
    <w:rsid w:val="003224FB"/>
    <w:rsid w:val="00322673"/>
    <w:rsid w:val="00323FD8"/>
    <w:rsid w:val="00324ABE"/>
    <w:rsid w:val="00325B1B"/>
    <w:rsid w:val="00326475"/>
    <w:rsid w:val="00327797"/>
    <w:rsid w:val="00330199"/>
    <w:rsid w:val="0033143C"/>
    <w:rsid w:val="003335BB"/>
    <w:rsid w:val="003354A3"/>
    <w:rsid w:val="00335E21"/>
    <w:rsid w:val="00337A31"/>
    <w:rsid w:val="00340394"/>
    <w:rsid w:val="003439AB"/>
    <w:rsid w:val="00345EE5"/>
    <w:rsid w:val="003467CF"/>
    <w:rsid w:val="00350A26"/>
    <w:rsid w:val="00352930"/>
    <w:rsid w:val="00353C02"/>
    <w:rsid w:val="00354251"/>
    <w:rsid w:val="00354A2A"/>
    <w:rsid w:val="0035500A"/>
    <w:rsid w:val="0035625D"/>
    <w:rsid w:val="00356810"/>
    <w:rsid w:val="003568E9"/>
    <w:rsid w:val="003571B2"/>
    <w:rsid w:val="003608E7"/>
    <w:rsid w:val="00362397"/>
    <w:rsid w:val="0036707F"/>
    <w:rsid w:val="00370453"/>
    <w:rsid w:val="00370A96"/>
    <w:rsid w:val="00371A6B"/>
    <w:rsid w:val="00371B08"/>
    <w:rsid w:val="0037270E"/>
    <w:rsid w:val="00373908"/>
    <w:rsid w:val="00375276"/>
    <w:rsid w:val="00375335"/>
    <w:rsid w:val="00376B5E"/>
    <w:rsid w:val="00377440"/>
    <w:rsid w:val="00380020"/>
    <w:rsid w:val="003821E4"/>
    <w:rsid w:val="0038278D"/>
    <w:rsid w:val="00382935"/>
    <w:rsid w:val="003832D3"/>
    <w:rsid w:val="00383EAC"/>
    <w:rsid w:val="003845CC"/>
    <w:rsid w:val="003852A2"/>
    <w:rsid w:val="00386057"/>
    <w:rsid w:val="00387634"/>
    <w:rsid w:val="003902EF"/>
    <w:rsid w:val="00390364"/>
    <w:rsid w:val="00391422"/>
    <w:rsid w:val="00394C27"/>
    <w:rsid w:val="00394CC0"/>
    <w:rsid w:val="003963B8"/>
    <w:rsid w:val="00396476"/>
    <w:rsid w:val="00396E92"/>
    <w:rsid w:val="00396EC6"/>
    <w:rsid w:val="00396F76"/>
    <w:rsid w:val="003A1C0C"/>
    <w:rsid w:val="003A3A86"/>
    <w:rsid w:val="003A4301"/>
    <w:rsid w:val="003A746E"/>
    <w:rsid w:val="003B1E7D"/>
    <w:rsid w:val="003B4E26"/>
    <w:rsid w:val="003B4EA0"/>
    <w:rsid w:val="003B5888"/>
    <w:rsid w:val="003B75CD"/>
    <w:rsid w:val="003C1E08"/>
    <w:rsid w:val="003C2012"/>
    <w:rsid w:val="003C24A6"/>
    <w:rsid w:val="003C27BB"/>
    <w:rsid w:val="003C2AF4"/>
    <w:rsid w:val="003C2F8A"/>
    <w:rsid w:val="003C35D2"/>
    <w:rsid w:val="003C4344"/>
    <w:rsid w:val="003C436B"/>
    <w:rsid w:val="003C468C"/>
    <w:rsid w:val="003C589E"/>
    <w:rsid w:val="003C626E"/>
    <w:rsid w:val="003C63D5"/>
    <w:rsid w:val="003C692B"/>
    <w:rsid w:val="003D00F9"/>
    <w:rsid w:val="003D2CDB"/>
    <w:rsid w:val="003D2F63"/>
    <w:rsid w:val="003D3CAD"/>
    <w:rsid w:val="003D42B4"/>
    <w:rsid w:val="003E0F86"/>
    <w:rsid w:val="003E12A6"/>
    <w:rsid w:val="003E18B8"/>
    <w:rsid w:val="003E27A0"/>
    <w:rsid w:val="003E2BFD"/>
    <w:rsid w:val="003E5961"/>
    <w:rsid w:val="003E5BF4"/>
    <w:rsid w:val="003E7670"/>
    <w:rsid w:val="003F07CB"/>
    <w:rsid w:val="003F0C17"/>
    <w:rsid w:val="003F0DDF"/>
    <w:rsid w:val="003F0E32"/>
    <w:rsid w:val="003F114A"/>
    <w:rsid w:val="003F1F60"/>
    <w:rsid w:val="003F31BC"/>
    <w:rsid w:val="003F3A1D"/>
    <w:rsid w:val="003F3FD2"/>
    <w:rsid w:val="003F4AE6"/>
    <w:rsid w:val="003F4C08"/>
    <w:rsid w:val="003F4C36"/>
    <w:rsid w:val="003F5365"/>
    <w:rsid w:val="003F640F"/>
    <w:rsid w:val="003F719B"/>
    <w:rsid w:val="004009B5"/>
    <w:rsid w:val="00400B7B"/>
    <w:rsid w:val="0040218E"/>
    <w:rsid w:val="00402B39"/>
    <w:rsid w:val="00402F96"/>
    <w:rsid w:val="00403539"/>
    <w:rsid w:val="00406214"/>
    <w:rsid w:val="00407BC8"/>
    <w:rsid w:val="00411DA1"/>
    <w:rsid w:val="004128DD"/>
    <w:rsid w:val="00412F7C"/>
    <w:rsid w:val="00413B5C"/>
    <w:rsid w:val="00413F51"/>
    <w:rsid w:val="00414A82"/>
    <w:rsid w:val="004160E8"/>
    <w:rsid w:val="0041634C"/>
    <w:rsid w:val="00416B53"/>
    <w:rsid w:val="00416F22"/>
    <w:rsid w:val="00420D49"/>
    <w:rsid w:val="00421156"/>
    <w:rsid w:val="0042130E"/>
    <w:rsid w:val="00423230"/>
    <w:rsid w:val="00423A6D"/>
    <w:rsid w:val="004241A3"/>
    <w:rsid w:val="00425D01"/>
    <w:rsid w:val="004261F4"/>
    <w:rsid w:val="0042744E"/>
    <w:rsid w:val="0043054F"/>
    <w:rsid w:val="004331F2"/>
    <w:rsid w:val="004332D5"/>
    <w:rsid w:val="00433DB6"/>
    <w:rsid w:val="00434C69"/>
    <w:rsid w:val="004350EC"/>
    <w:rsid w:val="00440825"/>
    <w:rsid w:val="0044263A"/>
    <w:rsid w:val="004428D9"/>
    <w:rsid w:val="00443D76"/>
    <w:rsid w:val="004449FF"/>
    <w:rsid w:val="00445175"/>
    <w:rsid w:val="00445FBA"/>
    <w:rsid w:val="00446088"/>
    <w:rsid w:val="004460FE"/>
    <w:rsid w:val="00446D48"/>
    <w:rsid w:val="00447865"/>
    <w:rsid w:val="00450A04"/>
    <w:rsid w:val="004517D0"/>
    <w:rsid w:val="004533A8"/>
    <w:rsid w:val="00453C1F"/>
    <w:rsid w:val="004544E1"/>
    <w:rsid w:val="0045496F"/>
    <w:rsid w:val="00454FF6"/>
    <w:rsid w:val="0045528C"/>
    <w:rsid w:val="004606A8"/>
    <w:rsid w:val="00463C16"/>
    <w:rsid w:val="00463EA3"/>
    <w:rsid w:val="00466FED"/>
    <w:rsid w:val="00467983"/>
    <w:rsid w:val="00467DCA"/>
    <w:rsid w:val="00471011"/>
    <w:rsid w:val="00471598"/>
    <w:rsid w:val="0047345A"/>
    <w:rsid w:val="0047683B"/>
    <w:rsid w:val="00477E95"/>
    <w:rsid w:val="004800BE"/>
    <w:rsid w:val="004834A1"/>
    <w:rsid w:val="00484F76"/>
    <w:rsid w:val="00485176"/>
    <w:rsid w:val="0048621A"/>
    <w:rsid w:val="00487475"/>
    <w:rsid w:val="0048769E"/>
    <w:rsid w:val="0049259E"/>
    <w:rsid w:val="00494A48"/>
    <w:rsid w:val="00494AF6"/>
    <w:rsid w:val="00497B9F"/>
    <w:rsid w:val="004A10FB"/>
    <w:rsid w:val="004A3FAA"/>
    <w:rsid w:val="004B090D"/>
    <w:rsid w:val="004B1C5A"/>
    <w:rsid w:val="004B3AC7"/>
    <w:rsid w:val="004B5AD3"/>
    <w:rsid w:val="004B66A3"/>
    <w:rsid w:val="004B6E5C"/>
    <w:rsid w:val="004B74DE"/>
    <w:rsid w:val="004C172F"/>
    <w:rsid w:val="004C2C9B"/>
    <w:rsid w:val="004C305A"/>
    <w:rsid w:val="004C5590"/>
    <w:rsid w:val="004C64DF"/>
    <w:rsid w:val="004C6DDF"/>
    <w:rsid w:val="004D00D8"/>
    <w:rsid w:val="004D0C09"/>
    <w:rsid w:val="004D11A4"/>
    <w:rsid w:val="004D1942"/>
    <w:rsid w:val="004D3586"/>
    <w:rsid w:val="004D3F91"/>
    <w:rsid w:val="004D401C"/>
    <w:rsid w:val="004D6774"/>
    <w:rsid w:val="004E075D"/>
    <w:rsid w:val="004E2184"/>
    <w:rsid w:val="004E2283"/>
    <w:rsid w:val="004E24FB"/>
    <w:rsid w:val="004E338A"/>
    <w:rsid w:val="004E535F"/>
    <w:rsid w:val="004E7CE5"/>
    <w:rsid w:val="004F0EB3"/>
    <w:rsid w:val="004F159F"/>
    <w:rsid w:val="004F2BA5"/>
    <w:rsid w:val="004F34EA"/>
    <w:rsid w:val="004F41B6"/>
    <w:rsid w:val="004F556C"/>
    <w:rsid w:val="004F6717"/>
    <w:rsid w:val="004F7803"/>
    <w:rsid w:val="00502983"/>
    <w:rsid w:val="00502ADE"/>
    <w:rsid w:val="005039C6"/>
    <w:rsid w:val="00504FE4"/>
    <w:rsid w:val="00506AF0"/>
    <w:rsid w:val="005070CD"/>
    <w:rsid w:val="00507144"/>
    <w:rsid w:val="00507698"/>
    <w:rsid w:val="00507C79"/>
    <w:rsid w:val="005102DB"/>
    <w:rsid w:val="00510A36"/>
    <w:rsid w:val="00511455"/>
    <w:rsid w:val="00511AC8"/>
    <w:rsid w:val="005151FE"/>
    <w:rsid w:val="005153CB"/>
    <w:rsid w:val="0051579E"/>
    <w:rsid w:val="00516402"/>
    <w:rsid w:val="00516D85"/>
    <w:rsid w:val="005170BE"/>
    <w:rsid w:val="005171F0"/>
    <w:rsid w:val="005176B0"/>
    <w:rsid w:val="00517967"/>
    <w:rsid w:val="00520E7A"/>
    <w:rsid w:val="00522B78"/>
    <w:rsid w:val="005234BF"/>
    <w:rsid w:val="00523894"/>
    <w:rsid w:val="00526369"/>
    <w:rsid w:val="00526816"/>
    <w:rsid w:val="00526E6A"/>
    <w:rsid w:val="00531648"/>
    <w:rsid w:val="00531BD5"/>
    <w:rsid w:val="00534194"/>
    <w:rsid w:val="00534A07"/>
    <w:rsid w:val="00534B4E"/>
    <w:rsid w:val="005419B5"/>
    <w:rsid w:val="00541A39"/>
    <w:rsid w:val="005461F2"/>
    <w:rsid w:val="00546D86"/>
    <w:rsid w:val="00551661"/>
    <w:rsid w:val="00551B1F"/>
    <w:rsid w:val="0055292D"/>
    <w:rsid w:val="005532A5"/>
    <w:rsid w:val="00553DE1"/>
    <w:rsid w:val="005552B8"/>
    <w:rsid w:val="00555C56"/>
    <w:rsid w:val="00555F08"/>
    <w:rsid w:val="00560F5B"/>
    <w:rsid w:val="0056249C"/>
    <w:rsid w:val="00564999"/>
    <w:rsid w:val="00567D69"/>
    <w:rsid w:val="00567E5C"/>
    <w:rsid w:val="00571600"/>
    <w:rsid w:val="005736DB"/>
    <w:rsid w:val="00574470"/>
    <w:rsid w:val="00576395"/>
    <w:rsid w:val="00576B67"/>
    <w:rsid w:val="00580471"/>
    <w:rsid w:val="00580A94"/>
    <w:rsid w:val="0058160B"/>
    <w:rsid w:val="00582760"/>
    <w:rsid w:val="0058288B"/>
    <w:rsid w:val="005828B4"/>
    <w:rsid w:val="00582C80"/>
    <w:rsid w:val="005859CB"/>
    <w:rsid w:val="00585A72"/>
    <w:rsid w:val="00585B43"/>
    <w:rsid w:val="00586F34"/>
    <w:rsid w:val="005910FF"/>
    <w:rsid w:val="0059219C"/>
    <w:rsid w:val="00592467"/>
    <w:rsid w:val="00592639"/>
    <w:rsid w:val="00593B89"/>
    <w:rsid w:val="005960C9"/>
    <w:rsid w:val="005A13AA"/>
    <w:rsid w:val="005A179F"/>
    <w:rsid w:val="005A3E4B"/>
    <w:rsid w:val="005A40E1"/>
    <w:rsid w:val="005A5808"/>
    <w:rsid w:val="005A72C4"/>
    <w:rsid w:val="005B122B"/>
    <w:rsid w:val="005B1B1A"/>
    <w:rsid w:val="005B340B"/>
    <w:rsid w:val="005B3633"/>
    <w:rsid w:val="005B3F7F"/>
    <w:rsid w:val="005B5321"/>
    <w:rsid w:val="005B6686"/>
    <w:rsid w:val="005B7072"/>
    <w:rsid w:val="005B709F"/>
    <w:rsid w:val="005C0442"/>
    <w:rsid w:val="005C213A"/>
    <w:rsid w:val="005C2266"/>
    <w:rsid w:val="005C470C"/>
    <w:rsid w:val="005C4EC3"/>
    <w:rsid w:val="005C4FBB"/>
    <w:rsid w:val="005C5160"/>
    <w:rsid w:val="005C5303"/>
    <w:rsid w:val="005C62B5"/>
    <w:rsid w:val="005C686B"/>
    <w:rsid w:val="005C7502"/>
    <w:rsid w:val="005D3AB4"/>
    <w:rsid w:val="005D3FC2"/>
    <w:rsid w:val="005D5EA5"/>
    <w:rsid w:val="005D69DB"/>
    <w:rsid w:val="005D738F"/>
    <w:rsid w:val="005D7B3E"/>
    <w:rsid w:val="005D7B44"/>
    <w:rsid w:val="005D7C0C"/>
    <w:rsid w:val="005E0C8B"/>
    <w:rsid w:val="005E0F17"/>
    <w:rsid w:val="005E1244"/>
    <w:rsid w:val="005E1509"/>
    <w:rsid w:val="005E4858"/>
    <w:rsid w:val="005E5A2A"/>
    <w:rsid w:val="005E6172"/>
    <w:rsid w:val="005E6C54"/>
    <w:rsid w:val="005F1850"/>
    <w:rsid w:val="005F1B83"/>
    <w:rsid w:val="005F600D"/>
    <w:rsid w:val="005F6415"/>
    <w:rsid w:val="005F6491"/>
    <w:rsid w:val="005F6561"/>
    <w:rsid w:val="00601463"/>
    <w:rsid w:val="00602DA3"/>
    <w:rsid w:val="00603140"/>
    <w:rsid w:val="00603FB4"/>
    <w:rsid w:val="00604609"/>
    <w:rsid w:val="00604D69"/>
    <w:rsid w:val="0060526F"/>
    <w:rsid w:val="00606ACF"/>
    <w:rsid w:val="00607C8F"/>
    <w:rsid w:val="00610941"/>
    <w:rsid w:val="006119E1"/>
    <w:rsid w:val="00611C51"/>
    <w:rsid w:val="00611FA0"/>
    <w:rsid w:val="006145CB"/>
    <w:rsid w:val="00614DE6"/>
    <w:rsid w:val="006164A1"/>
    <w:rsid w:val="00622E6D"/>
    <w:rsid w:val="0062314F"/>
    <w:rsid w:val="0062385E"/>
    <w:rsid w:val="00623991"/>
    <w:rsid w:val="00625DEA"/>
    <w:rsid w:val="006260FB"/>
    <w:rsid w:val="006264A4"/>
    <w:rsid w:val="00626566"/>
    <w:rsid w:val="00626CC1"/>
    <w:rsid w:val="0062761B"/>
    <w:rsid w:val="006276D9"/>
    <w:rsid w:val="006301A3"/>
    <w:rsid w:val="0063204B"/>
    <w:rsid w:val="006320B1"/>
    <w:rsid w:val="006346A1"/>
    <w:rsid w:val="00635F2D"/>
    <w:rsid w:val="006366D0"/>
    <w:rsid w:val="00637241"/>
    <w:rsid w:val="00637B30"/>
    <w:rsid w:val="00637C48"/>
    <w:rsid w:val="0064151E"/>
    <w:rsid w:val="00642167"/>
    <w:rsid w:val="00642E3E"/>
    <w:rsid w:val="006434A5"/>
    <w:rsid w:val="0064364D"/>
    <w:rsid w:val="00645579"/>
    <w:rsid w:val="0064797C"/>
    <w:rsid w:val="006506BF"/>
    <w:rsid w:val="006516EA"/>
    <w:rsid w:val="00651956"/>
    <w:rsid w:val="006536D9"/>
    <w:rsid w:val="006572FF"/>
    <w:rsid w:val="00657ECD"/>
    <w:rsid w:val="0066578A"/>
    <w:rsid w:val="0066687C"/>
    <w:rsid w:val="006675E0"/>
    <w:rsid w:val="00670E12"/>
    <w:rsid w:val="006748D1"/>
    <w:rsid w:val="00674EE2"/>
    <w:rsid w:val="00675559"/>
    <w:rsid w:val="006755CC"/>
    <w:rsid w:val="00675AB8"/>
    <w:rsid w:val="00675E33"/>
    <w:rsid w:val="006822C4"/>
    <w:rsid w:val="0068236B"/>
    <w:rsid w:val="00684367"/>
    <w:rsid w:val="00686CA3"/>
    <w:rsid w:val="00686F86"/>
    <w:rsid w:val="00687098"/>
    <w:rsid w:val="00687CAE"/>
    <w:rsid w:val="00690147"/>
    <w:rsid w:val="0069021F"/>
    <w:rsid w:val="00691F9F"/>
    <w:rsid w:val="00692CCD"/>
    <w:rsid w:val="00693507"/>
    <w:rsid w:val="006941E0"/>
    <w:rsid w:val="00694A15"/>
    <w:rsid w:val="006951AE"/>
    <w:rsid w:val="006951E5"/>
    <w:rsid w:val="006976B9"/>
    <w:rsid w:val="006A06D9"/>
    <w:rsid w:val="006A124E"/>
    <w:rsid w:val="006A137D"/>
    <w:rsid w:val="006A1CAB"/>
    <w:rsid w:val="006A2E9B"/>
    <w:rsid w:val="006A657C"/>
    <w:rsid w:val="006A7C3A"/>
    <w:rsid w:val="006B1D05"/>
    <w:rsid w:val="006B1F35"/>
    <w:rsid w:val="006B26E5"/>
    <w:rsid w:val="006B2F97"/>
    <w:rsid w:val="006B458F"/>
    <w:rsid w:val="006B5538"/>
    <w:rsid w:val="006B6D66"/>
    <w:rsid w:val="006C0ACE"/>
    <w:rsid w:val="006C0C69"/>
    <w:rsid w:val="006C13CC"/>
    <w:rsid w:val="006C31A6"/>
    <w:rsid w:val="006C35E4"/>
    <w:rsid w:val="006C6668"/>
    <w:rsid w:val="006D39C9"/>
    <w:rsid w:val="006D3C08"/>
    <w:rsid w:val="006D3E64"/>
    <w:rsid w:val="006D4A32"/>
    <w:rsid w:val="006D5DF7"/>
    <w:rsid w:val="006D707A"/>
    <w:rsid w:val="006D7D92"/>
    <w:rsid w:val="006D7DCB"/>
    <w:rsid w:val="006E09C0"/>
    <w:rsid w:val="006E15A5"/>
    <w:rsid w:val="006E17E4"/>
    <w:rsid w:val="006E25D5"/>
    <w:rsid w:val="006E27CC"/>
    <w:rsid w:val="006E3A3D"/>
    <w:rsid w:val="006E4B84"/>
    <w:rsid w:val="006E58FB"/>
    <w:rsid w:val="006E6948"/>
    <w:rsid w:val="006F0F6D"/>
    <w:rsid w:val="006F1D13"/>
    <w:rsid w:val="006F3D31"/>
    <w:rsid w:val="006F59DF"/>
    <w:rsid w:val="006F6169"/>
    <w:rsid w:val="006F636F"/>
    <w:rsid w:val="006F7C18"/>
    <w:rsid w:val="00700997"/>
    <w:rsid w:val="00702EBA"/>
    <w:rsid w:val="0070415B"/>
    <w:rsid w:val="00705880"/>
    <w:rsid w:val="00706F95"/>
    <w:rsid w:val="00710143"/>
    <w:rsid w:val="00711131"/>
    <w:rsid w:val="0071174E"/>
    <w:rsid w:val="0071225C"/>
    <w:rsid w:val="00714044"/>
    <w:rsid w:val="0071552B"/>
    <w:rsid w:val="00715805"/>
    <w:rsid w:val="00716483"/>
    <w:rsid w:val="00716BEF"/>
    <w:rsid w:val="00717E90"/>
    <w:rsid w:val="00721662"/>
    <w:rsid w:val="007217FF"/>
    <w:rsid w:val="0072188E"/>
    <w:rsid w:val="00721E12"/>
    <w:rsid w:val="00723FA3"/>
    <w:rsid w:val="00724DBA"/>
    <w:rsid w:val="0072537A"/>
    <w:rsid w:val="00727012"/>
    <w:rsid w:val="007275D9"/>
    <w:rsid w:val="00727E80"/>
    <w:rsid w:val="0073014F"/>
    <w:rsid w:val="00730945"/>
    <w:rsid w:val="007328DF"/>
    <w:rsid w:val="0073342F"/>
    <w:rsid w:val="00737B9D"/>
    <w:rsid w:val="00740133"/>
    <w:rsid w:val="00740637"/>
    <w:rsid w:val="007407E8"/>
    <w:rsid w:val="007408E7"/>
    <w:rsid w:val="00741636"/>
    <w:rsid w:val="007436D8"/>
    <w:rsid w:val="00743761"/>
    <w:rsid w:val="00743BAF"/>
    <w:rsid w:val="00745716"/>
    <w:rsid w:val="00747F43"/>
    <w:rsid w:val="00750100"/>
    <w:rsid w:val="00750414"/>
    <w:rsid w:val="0075098F"/>
    <w:rsid w:val="007544AC"/>
    <w:rsid w:val="00756264"/>
    <w:rsid w:val="00757CA5"/>
    <w:rsid w:val="0076031A"/>
    <w:rsid w:val="0076162F"/>
    <w:rsid w:val="00763B27"/>
    <w:rsid w:val="0076544C"/>
    <w:rsid w:val="0076555C"/>
    <w:rsid w:val="00765775"/>
    <w:rsid w:val="0076647F"/>
    <w:rsid w:val="0076689F"/>
    <w:rsid w:val="00767B3E"/>
    <w:rsid w:val="00770476"/>
    <w:rsid w:val="00770DEA"/>
    <w:rsid w:val="00772120"/>
    <w:rsid w:val="00775046"/>
    <w:rsid w:val="0077569A"/>
    <w:rsid w:val="0077594F"/>
    <w:rsid w:val="00775F3B"/>
    <w:rsid w:val="007765B1"/>
    <w:rsid w:val="0077766D"/>
    <w:rsid w:val="007801FF"/>
    <w:rsid w:val="007807E4"/>
    <w:rsid w:val="00781CB2"/>
    <w:rsid w:val="00783748"/>
    <w:rsid w:val="00784F32"/>
    <w:rsid w:val="007853DF"/>
    <w:rsid w:val="00787D67"/>
    <w:rsid w:val="00791A12"/>
    <w:rsid w:val="00793937"/>
    <w:rsid w:val="00793C82"/>
    <w:rsid w:val="00796E24"/>
    <w:rsid w:val="007A1FB8"/>
    <w:rsid w:val="007A3556"/>
    <w:rsid w:val="007A3A1B"/>
    <w:rsid w:val="007A7EB3"/>
    <w:rsid w:val="007B37AE"/>
    <w:rsid w:val="007B389B"/>
    <w:rsid w:val="007B4789"/>
    <w:rsid w:val="007B489E"/>
    <w:rsid w:val="007B4F3C"/>
    <w:rsid w:val="007B6432"/>
    <w:rsid w:val="007B6837"/>
    <w:rsid w:val="007B75AA"/>
    <w:rsid w:val="007C03BE"/>
    <w:rsid w:val="007C1230"/>
    <w:rsid w:val="007C126F"/>
    <w:rsid w:val="007C3B3C"/>
    <w:rsid w:val="007C3D8B"/>
    <w:rsid w:val="007C62B3"/>
    <w:rsid w:val="007D2B32"/>
    <w:rsid w:val="007D312F"/>
    <w:rsid w:val="007D4880"/>
    <w:rsid w:val="007D55DA"/>
    <w:rsid w:val="007D7E12"/>
    <w:rsid w:val="007E06D6"/>
    <w:rsid w:val="007E0864"/>
    <w:rsid w:val="007E0876"/>
    <w:rsid w:val="007E300F"/>
    <w:rsid w:val="007E563F"/>
    <w:rsid w:val="007E6E96"/>
    <w:rsid w:val="007F0EBD"/>
    <w:rsid w:val="007F16DE"/>
    <w:rsid w:val="007F1A18"/>
    <w:rsid w:val="007F3763"/>
    <w:rsid w:val="007F3C9B"/>
    <w:rsid w:val="007F43A7"/>
    <w:rsid w:val="007F4802"/>
    <w:rsid w:val="007F53A1"/>
    <w:rsid w:val="007F578F"/>
    <w:rsid w:val="007F6F09"/>
    <w:rsid w:val="00800E70"/>
    <w:rsid w:val="00801471"/>
    <w:rsid w:val="00802A7D"/>
    <w:rsid w:val="00803CE5"/>
    <w:rsid w:val="00803E3F"/>
    <w:rsid w:val="00803FD7"/>
    <w:rsid w:val="00804954"/>
    <w:rsid w:val="008052F4"/>
    <w:rsid w:val="008067F3"/>
    <w:rsid w:val="0080780A"/>
    <w:rsid w:val="00811046"/>
    <w:rsid w:val="0081122F"/>
    <w:rsid w:val="00811CCA"/>
    <w:rsid w:val="00812706"/>
    <w:rsid w:val="008133E5"/>
    <w:rsid w:val="0081368F"/>
    <w:rsid w:val="00813D94"/>
    <w:rsid w:val="00814605"/>
    <w:rsid w:val="00814776"/>
    <w:rsid w:val="00814EE0"/>
    <w:rsid w:val="008170A3"/>
    <w:rsid w:val="00817B61"/>
    <w:rsid w:val="00820132"/>
    <w:rsid w:val="00822726"/>
    <w:rsid w:val="008227B1"/>
    <w:rsid w:val="0082293B"/>
    <w:rsid w:val="00822BA9"/>
    <w:rsid w:val="00822CCA"/>
    <w:rsid w:val="00824A9F"/>
    <w:rsid w:val="0082593F"/>
    <w:rsid w:val="0082611F"/>
    <w:rsid w:val="00826ED8"/>
    <w:rsid w:val="00830E3D"/>
    <w:rsid w:val="008321A3"/>
    <w:rsid w:val="00832BDE"/>
    <w:rsid w:val="008351CD"/>
    <w:rsid w:val="008351E4"/>
    <w:rsid w:val="0083603C"/>
    <w:rsid w:val="008363BD"/>
    <w:rsid w:val="00836F31"/>
    <w:rsid w:val="0083764E"/>
    <w:rsid w:val="00840391"/>
    <w:rsid w:val="00843400"/>
    <w:rsid w:val="008438E7"/>
    <w:rsid w:val="0084394C"/>
    <w:rsid w:val="00843DF4"/>
    <w:rsid w:val="00845046"/>
    <w:rsid w:val="0084551D"/>
    <w:rsid w:val="00847219"/>
    <w:rsid w:val="0084726E"/>
    <w:rsid w:val="008475CA"/>
    <w:rsid w:val="00847E08"/>
    <w:rsid w:val="00850F1F"/>
    <w:rsid w:val="00851A7E"/>
    <w:rsid w:val="00852F09"/>
    <w:rsid w:val="008539B3"/>
    <w:rsid w:val="00854A8A"/>
    <w:rsid w:val="00857E8B"/>
    <w:rsid w:val="0086108F"/>
    <w:rsid w:val="00861C25"/>
    <w:rsid w:val="00861D27"/>
    <w:rsid w:val="008621DC"/>
    <w:rsid w:val="00863980"/>
    <w:rsid w:val="00863C8D"/>
    <w:rsid w:val="00863E72"/>
    <w:rsid w:val="008664D1"/>
    <w:rsid w:val="00870416"/>
    <w:rsid w:val="0087082C"/>
    <w:rsid w:val="008715B1"/>
    <w:rsid w:val="00871E43"/>
    <w:rsid w:val="00872878"/>
    <w:rsid w:val="008736AF"/>
    <w:rsid w:val="008762B2"/>
    <w:rsid w:val="00876563"/>
    <w:rsid w:val="00881889"/>
    <w:rsid w:val="00882CF1"/>
    <w:rsid w:val="00882D99"/>
    <w:rsid w:val="00885774"/>
    <w:rsid w:val="00885B04"/>
    <w:rsid w:val="00885F03"/>
    <w:rsid w:val="0088629B"/>
    <w:rsid w:val="008866F6"/>
    <w:rsid w:val="00887D06"/>
    <w:rsid w:val="00887EC1"/>
    <w:rsid w:val="00890E59"/>
    <w:rsid w:val="0089136A"/>
    <w:rsid w:val="00891576"/>
    <w:rsid w:val="00892067"/>
    <w:rsid w:val="00893C10"/>
    <w:rsid w:val="0089434D"/>
    <w:rsid w:val="00894760"/>
    <w:rsid w:val="00894FE8"/>
    <w:rsid w:val="008959BE"/>
    <w:rsid w:val="0089607F"/>
    <w:rsid w:val="00896C0F"/>
    <w:rsid w:val="008A08A2"/>
    <w:rsid w:val="008A0AC7"/>
    <w:rsid w:val="008A15D9"/>
    <w:rsid w:val="008A2465"/>
    <w:rsid w:val="008A4973"/>
    <w:rsid w:val="008A5B01"/>
    <w:rsid w:val="008A63AD"/>
    <w:rsid w:val="008A6CF4"/>
    <w:rsid w:val="008B0E57"/>
    <w:rsid w:val="008B14FA"/>
    <w:rsid w:val="008B1952"/>
    <w:rsid w:val="008B27A4"/>
    <w:rsid w:val="008B41FD"/>
    <w:rsid w:val="008B5D09"/>
    <w:rsid w:val="008B6003"/>
    <w:rsid w:val="008B74B0"/>
    <w:rsid w:val="008C0A54"/>
    <w:rsid w:val="008C1191"/>
    <w:rsid w:val="008C2D18"/>
    <w:rsid w:val="008C393F"/>
    <w:rsid w:val="008C483D"/>
    <w:rsid w:val="008C57A9"/>
    <w:rsid w:val="008C6958"/>
    <w:rsid w:val="008C6B6F"/>
    <w:rsid w:val="008C7592"/>
    <w:rsid w:val="008D0324"/>
    <w:rsid w:val="008D1B71"/>
    <w:rsid w:val="008D4658"/>
    <w:rsid w:val="008D496A"/>
    <w:rsid w:val="008D4A88"/>
    <w:rsid w:val="008D4EDD"/>
    <w:rsid w:val="008D5067"/>
    <w:rsid w:val="008D53DA"/>
    <w:rsid w:val="008D5735"/>
    <w:rsid w:val="008D6A62"/>
    <w:rsid w:val="008D7B8A"/>
    <w:rsid w:val="008D7DF7"/>
    <w:rsid w:val="008E0318"/>
    <w:rsid w:val="008E0A1E"/>
    <w:rsid w:val="008E1E5A"/>
    <w:rsid w:val="008E4484"/>
    <w:rsid w:val="008F0A21"/>
    <w:rsid w:val="008F17E6"/>
    <w:rsid w:val="008F18A3"/>
    <w:rsid w:val="008F2223"/>
    <w:rsid w:val="008F2272"/>
    <w:rsid w:val="008F2A10"/>
    <w:rsid w:val="008F2ABB"/>
    <w:rsid w:val="008F3779"/>
    <w:rsid w:val="008F3FCF"/>
    <w:rsid w:val="008F4E99"/>
    <w:rsid w:val="008F69A3"/>
    <w:rsid w:val="008F785E"/>
    <w:rsid w:val="008F79FB"/>
    <w:rsid w:val="008F7DB7"/>
    <w:rsid w:val="00900417"/>
    <w:rsid w:val="009036F9"/>
    <w:rsid w:val="00903C67"/>
    <w:rsid w:val="00903CE6"/>
    <w:rsid w:val="00903F19"/>
    <w:rsid w:val="00906ECE"/>
    <w:rsid w:val="009071F7"/>
    <w:rsid w:val="00907CBD"/>
    <w:rsid w:val="009105AB"/>
    <w:rsid w:val="009107E2"/>
    <w:rsid w:val="00910ED3"/>
    <w:rsid w:val="00911B30"/>
    <w:rsid w:val="0091223C"/>
    <w:rsid w:val="00914FF3"/>
    <w:rsid w:val="00916A87"/>
    <w:rsid w:val="0091741F"/>
    <w:rsid w:val="0091749F"/>
    <w:rsid w:val="00917910"/>
    <w:rsid w:val="0092090C"/>
    <w:rsid w:val="0092312E"/>
    <w:rsid w:val="00925076"/>
    <w:rsid w:val="009271BC"/>
    <w:rsid w:val="0092723E"/>
    <w:rsid w:val="009300AC"/>
    <w:rsid w:val="00932D2B"/>
    <w:rsid w:val="00933065"/>
    <w:rsid w:val="00935EC5"/>
    <w:rsid w:val="00936617"/>
    <w:rsid w:val="00936AE6"/>
    <w:rsid w:val="00936D68"/>
    <w:rsid w:val="00937326"/>
    <w:rsid w:val="0094034B"/>
    <w:rsid w:val="00940779"/>
    <w:rsid w:val="00941378"/>
    <w:rsid w:val="00941383"/>
    <w:rsid w:val="009413BD"/>
    <w:rsid w:val="009425A7"/>
    <w:rsid w:val="00942D53"/>
    <w:rsid w:val="00943241"/>
    <w:rsid w:val="00943582"/>
    <w:rsid w:val="00945080"/>
    <w:rsid w:val="0094658B"/>
    <w:rsid w:val="00947F2D"/>
    <w:rsid w:val="00950C11"/>
    <w:rsid w:val="0095100A"/>
    <w:rsid w:val="009520C0"/>
    <w:rsid w:val="00952572"/>
    <w:rsid w:val="0095342F"/>
    <w:rsid w:val="00953678"/>
    <w:rsid w:val="00957EB8"/>
    <w:rsid w:val="00960C82"/>
    <w:rsid w:val="00966A07"/>
    <w:rsid w:val="00967A9A"/>
    <w:rsid w:val="00971E75"/>
    <w:rsid w:val="00971FF8"/>
    <w:rsid w:val="00972D61"/>
    <w:rsid w:val="00975B78"/>
    <w:rsid w:val="00975C1C"/>
    <w:rsid w:val="00980367"/>
    <w:rsid w:val="009809E3"/>
    <w:rsid w:val="00982114"/>
    <w:rsid w:val="0098213E"/>
    <w:rsid w:val="0098259F"/>
    <w:rsid w:val="00982AAF"/>
    <w:rsid w:val="00982E98"/>
    <w:rsid w:val="00984245"/>
    <w:rsid w:val="00984FE9"/>
    <w:rsid w:val="00985971"/>
    <w:rsid w:val="0098619F"/>
    <w:rsid w:val="00990F3E"/>
    <w:rsid w:val="00991130"/>
    <w:rsid w:val="00991BE5"/>
    <w:rsid w:val="00993A50"/>
    <w:rsid w:val="00994E5D"/>
    <w:rsid w:val="0099560B"/>
    <w:rsid w:val="00996F1B"/>
    <w:rsid w:val="009974B0"/>
    <w:rsid w:val="009A1022"/>
    <w:rsid w:val="009A139B"/>
    <w:rsid w:val="009A2758"/>
    <w:rsid w:val="009A27C8"/>
    <w:rsid w:val="009A2CCA"/>
    <w:rsid w:val="009A320A"/>
    <w:rsid w:val="009A34B7"/>
    <w:rsid w:val="009A473C"/>
    <w:rsid w:val="009A49BA"/>
    <w:rsid w:val="009A5CE6"/>
    <w:rsid w:val="009A63D1"/>
    <w:rsid w:val="009A6F36"/>
    <w:rsid w:val="009A7A24"/>
    <w:rsid w:val="009B14ED"/>
    <w:rsid w:val="009B27FC"/>
    <w:rsid w:val="009B2E4D"/>
    <w:rsid w:val="009B3210"/>
    <w:rsid w:val="009B381B"/>
    <w:rsid w:val="009B4409"/>
    <w:rsid w:val="009B4BFD"/>
    <w:rsid w:val="009B6F12"/>
    <w:rsid w:val="009B7968"/>
    <w:rsid w:val="009B7C95"/>
    <w:rsid w:val="009C0453"/>
    <w:rsid w:val="009C1233"/>
    <w:rsid w:val="009C5950"/>
    <w:rsid w:val="009C6252"/>
    <w:rsid w:val="009C689F"/>
    <w:rsid w:val="009C7B65"/>
    <w:rsid w:val="009D288F"/>
    <w:rsid w:val="009D315C"/>
    <w:rsid w:val="009D3498"/>
    <w:rsid w:val="009D3710"/>
    <w:rsid w:val="009D4C1D"/>
    <w:rsid w:val="009D5E21"/>
    <w:rsid w:val="009D6B0F"/>
    <w:rsid w:val="009D6C03"/>
    <w:rsid w:val="009D7459"/>
    <w:rsid w:val="009E1148"/>
    <w:rsid w:val="009E1B6E"/>
    <w:rsid w:val="009E2878"/>
    <w:rsid w:val="009E2A3D"/>
    <w:rsid w:val="009E3942"/>
    <w:rsid w:val="009E466C"/>
    <w:rsid w:val="009E6194"/>
    <w:rsid w:val="009E779C"/>
    <w:rsid w:val="009E7CEF"/>
    <w:rsid w:val="009F118E"/>
    <w:rsid w:val="009F13BD"/>
    <w:rsid w:val="009F31AB"/>
    <w:rsid w:val="009F604E"/>
    <w:rsid w:val="00A011CC"/>
    <w:rsid w:val="00A0202B"/>
    <w:rsid w:val="00A022E9"/>
    <w:rsid w:val="00A03C1F"/>
    <w:rsid w:val="00A04555"/>
    <w:rsid w:val="00A05574"/>
    <w:rsid w:val="00A05793"/>
    <w:rsid w:val="00A065A9"/>
    <w:rsid w:val="00A06CE7"/>
    <w:rsid w:val="00A10C02"/>
    <w:rsid w:val="00A10C08"/>
    <w:rsid w:val="00A1318A"/>
    <w:rsid w:val="00A13326"/>
    <w:rsid w:val="00A136D6"/>
    <w:rsid w:val="00A1420D"/>
    <w:rsid w:val="00A14B3D"/>
    <w:rsid w:val="00A178FA"/>
    <w:rsid w:val="00A208B8"/>
    <w:rsid w:val="00A20A92"/>
    <w:rsid w:val="00A21942"/>
    <w:rsid w:val="00A22302"/>
    <w:rsid w:val="00A233E7"/>
    <w:rsid w:val="00A2354E"/>
    <w:rsid w:val="00A23AE1"/>
    <w:rsid w:val="00A241EA"/>
    <w:rsid w:val="00A24231"/>
    <w:rsid w:val="00A2503B"/>
    <w:rsid w:val="00A27B80"/>
    <w:rsid w:val="00A30591"/>
    <w:rsid w:val="00A30717"/>
    <w:rsid w:val="00A30AFF"/>
    <w:rsid w:val="00A31940"/>
    <w:rsid w:val="00A31B75"/>
    <w:rsid w:val="00A32D04"/>
    <w:rsid w:val="00A33188"/>
    <w:rsid w:val="00A33A06"/>
    <w:rsid w:val="00A346D4"/>
    <w:rsid w:val="00A34E56"/>
    <w:rsid w:val="00A351DC"/>
    <w:rsid w:val="00A35AED"/>
    <w:rsid w:val="00A35BBA"/>
    <w:rsid w:val="00A35BC0"/>
    <w:rsid w:val="00A35D63"/>
    <w:rsid w:val="00A3762F"/>
    <w:rsid w:val="00A409E2"/>
    <w:rsid w:val="00A40CF9"/>
    <w:rsid w:val="00A43094"/>
    <w:rsid w:val="00A445E6"/>
    <w:rsid w:val="00A453C7"/>
    <w:rsid w:val="00A45C6F"/>
    <w:rsid w:val="00A47B66"/>
    <w:rsid w:val="00A50004"/>
    <w:rsid w:val="00A52EED"/>
    <w:rsid w:val="00A550EB"/>
    <w:rsid w:val="00A559FA"/>
    <w:rsid w:val="00A561C2"/>
    <w:rsid w:val="00A566A8"/>
    <w:rsid w:val="00A5752B"/>
    <w:rsid w:val="00A60A0C"/>
    <w:rsid w:val="00A61031"/>
    <w:rsid w:val="00A62C94"/>
    <w:rsid w:val="00A64571"/>
    <w:rsid w:val="00A65D71"/>
    <w:rsid w:val="00A666C3"/>
    <w:rsid w:val="00A67CC2"/>
    <w:rsid w:val="00A709D1"/>
    <w:rsid w:val="00A717D1"/>
    <w:rsid w:val="00A720EE"/>
    <w:rsid w:val="00A7248F"/>
    <w:rsid w:val="00A72AB8"/>
    <w:rsid w:val="00A7525A"/>
    <w:rsid w:val="00A75770"/>
    <w:rsid w:val="00A7585C"/>
    <w:rsid w:val="00A75E07"/>
    <w:rsid w:val="00A77AAD"/>
    <w:rsid w:val="00A8061E"/>
    <w:rsid w:val="00A80FEE"/>
    <w:rsid w:val="00A81C81"/>
    <w:rsid w:val="00A825E9"/>
    <w:rsid w:val="00A8354D"/>
    <w:rsid w:val="00A873AE"/>
    <w:rsid w:val="00A91326"/>
    <w:rsid w:val="00A9214A"/>
    <w:rsid w:val="00A93238"/>
    <w:rsid w:val="00A935F8"/>
    <w:rsid w:val="00A94C92"/>
    <w:rsid w:val="00A94EFC"/>
    <w:rsid w:val="00A95242"/>
    <w:rsid w:val="00A96824"/>
    <w:rsid w:val="00AA1C0C"/>
    <w:rsid w:val="00AA32FC"/>
    <w:rsid w:val="00AA4F3B"/>
    <w:rsid w:val="00AA5B67"/>
    <w:rsid w:val="00AA65A1"/>
    <w:rsid w:val="00AB126A"/>
    <w:rsid w:val="00AB1280"/>
    <w:rsid w:val="00AB206B"/>
    <w:rsid w:val="00AB24C1"/>
    <w:rsid w:val="00AB296C"/>
    <w:rsid w:val="00AB34F3"/>
    <w:rsid w:val="00AB3753"/>
    <w:rsid w:val="00AB415D"/>
    <w:rsid w:val="00AB5A5A"/>
    <w:rsid w:val="00AB6C6A"/>
    <w:rsid w:val="00AC25A0"/>
    <w:rsid w:val="00AC279B"/>
    <w:rsid w:val="00AC2C8D"/>
    <w:rsid w:val="00AC3C9C"/>
    <w:rsid w:val="00AC569E"/>
    <w:rsid w:val="00AC5B1F"/>
    <w:rsid w:val="00AC5EE1"/>
    <w:rsid w:val="00AC5F19"/>
    <w:rsid w:val="00AC5FF5"/>
    <w:rsid w:val="00AC6FF3"/>
    <w:rsid w:val="00AD1196"/>
    <w:rsid w:val="00AD146A"/>
    <w:rsid w:val="00AD2FA7"/>
    <w:rsid w:val="00AD359E"/>
    <w:rsid w:val="00AD4A0C"/>
    <w:rsid w:val="00AD4CB1"/>
    <w:rsid w:val="00AD4EA8"/>
    <w:rsid w:val="00AD6033"/>
    <w:rsid w:val="00AD7588"/>
    <w:rsid w:val="00AD7CBD"/>
    <w:rsid w:val="00AE042C"/>
    <w:rsid w:val="00AE0AA7"/>
    <w:rsid w:val="00AE0FF9"/>
    <w:rsid w:val="00AE1657"/>
    <w:rsid w:val="00AE24BF"/>
    <w:rsid w:val="00AE2A13"/>
    <w:rsid w:val="00AE407B"/>
    <w:rsid w:val="00AE4961"/>
    <w:rsid w:val="00AE51D7"/>
    <w:rsid w:val="00AE5E39"/>
    <w:rsid w:val="00AE63BD"/>
    <w:rsid w:val="00AE68F7"/>
    <w:rsid w:val="00AE6E1A"/>
    <w:rsid w:val="00AE7E53"/>
    <w:rsid w:val="00AE7F0F"/>
    <w:rsid w:val="00AF148D"/>
    <w:rsid w:val="00AF3DA1"/>
    <w:rsid w:val="00AF40C8"/>
    <w:rsid w:val="00AF4C50"/>
    <w:rsid w:val="00AF53DE"/>
    <w:rsid w:val="00AF57D6"/>
    <w:rsid w:val="00AF5A8B"/>
    <w:rsid w:val="00AF696E"/>
    <w:rsid w:val="00AF6E93"/>
    <w:rsid w:val="00B00AD8"/>
    <w:rsid w:val="00B016B7"/>
    <w:rsid w:val="00B0204D"/>
    <w:rsid w:val="00B03808"/>
    <w:rsid w:val="00B03B78"/>
    <w:rsid w:val="00B04425"/>
    <w:rsid w:val="00B052A4"/>
    <w:rsid w:val="00B078D4"/>
    <w:rsid w:val="00B07D18"/>
    <w:rsid w:val="00B07D97"/>
    <w:rsid w:val="00B10506"/>
    <w:rsid w:val="00B13250"/>
    <w:rsid w:val="00B135F7"/>
    <w:rsid w:val="00B1466C"/>
    <w:rsid w:val="00B14AE2"/>
    <w:rsid w:val="00B15841"/>
    <w:rsid w:val="00B16781"/>
    <w:rsid w:val="00B16D51"/>
    <w:rsid w:val="00B204FC"/>
    <w:rsid w:val="00B20A45"/>
    <w:rsid w:val="00B237DD"/>
    <w:rsid w:val="00B23B11"/>
    <w:rsid w:val="00B240E0"/>
    <w:rsid w:val="00B24F66"/>
    <w:rsid w:val="00B26E7A"/>
    <w:rsid w:val="00B271A2"/>
    <w:rsid w:val="00B27D77"/>
    <w:rsid w:val="00B30B5D"/>
    <w:rsid w:val="00B30E20"/>
    <w:rsid w:val="00B31756"/>
    <w:rsid w:val="00B31999"/>
    <w:rsid w:val="00B32572"/>
    <w:rsid w:val="00B34188"/>
    <w:rsid w:val="00B34C0E"/>
    <w:rsid w:val="00B36397"/>
    <w:rsid w:val="00B37E5C"/>
    <w:rsid w:val="00B403E8"/>
    <w:rsid w:val="00B40A8D"/>
    <w:rsid w:val="00B41195"/>
    <w:rsid w:val="00B41BE7"/>
    <w:rsid w:val="00B42560"/>
    <w:rsid w:val="00B42662"/>
    <w:rsid w:val="00B43834"/>
    <w:rsid w:val="00B4415C"/>
    <w:rsid w:val="00B443F3"/>
    <w:rsid w:val="00B45658"/>
    <w:rsid w:val="00B47B7F"/>
    <w:rsid w:val="00B5156D"/>
    <w:rsid w:val="00B51E77"/>
    <w:rsid w:val="00B52622"/>
    <w:rsid w:val="00B52D1B"/>
    <w:rsid w:val="00B535EC"/>
    <w:rsid w:val="00B5413B"/>
    <w:rsid w:val="00B54B4C"/>
    <w:rsid w:val="00B54DD3"/>
    <w:rsid w:val="00B55DD5"/>
    <w:rsid w:val="00B565E1"/>
    <w:rsid w:val="00B60973"/>
    <w:rsid w:val="00B60AFC"/>
    <w:rsid w:val="00B6694A"/>
    <w:rsid w:val="00B676D0"/>
    <w:rsid w:val="00B67B3B"/>
    <w:rsid w:val="00B703ED"/>
    <w:rsid w:val="00B7105E"/>
    <w:rsid w:val="00B713F6"/>
    <w:rsid w:val="00B71A27"/>
    <w:rsid w:val="00B72221"/>
    <w:rsid w:val="00B73266"/>
    <w:rsid w:val="00B733F9"/>
    <w:rsid w:val="00B75366"/>
    <w:rsid w:val="00B758BA"/>
    <w:rsid w:val="00B7731D"/>
    <w:rsid w:val="00B778E8"/>
    <w:rsid w:val="00B80E3F"/>
    <w:rsid w:val="00B81582"/>
    <w:rsid w:val="00B81771"/>
    <w:rsid w:val="00B82B17"/>
    <w:rsid w:val="00B84B1E"/>
    <w:rsid w:val="00B8771D"/>
    <w:rsid w:val="00B87A09"/>
    <w:rsid w:val="00B9283F"/>
    <w:rsid w:val="00B9397B"/>
    <w:rsid w:val="00B93DEE"/>
    <w:rsid w:val="00B94BC6"/>
    <w:rsid w:val="00B95BB8"/>
    <w:rsid w:val="00B96F22"/>
    <w:rsid w:val="00BA0903"/>
    <w:rsid w:val="00BA1DF5"/>
    <w:rsid w:val="00BA26B9"/>
    <w:rsid w:val="00BA2DAC"/>
    <w:rsid w:val="00BA33D9"/>
    <w:rsid w:val="00BA5564"/>
    <w:rsid w:val="00BA5571"/>
    <w:rsid w:val="00BA570D"/>
    <w:rsid w:val="00BA5714"/>
    <w:rsid w:val="00BA59CC"/>
    <w:rsid w:val="00BA5F40"/>
    <w:rsid w:val="00BA6582"/>
    <w:rsid w:val="00BB0940"/>
    <w:rsid w:val="00BB12C8"/>
    <w:rsid w:val="00BB15CF"/>
    <w:rsid w:val="00BB167C"/>
    <w:rsid w:val="00BB171B"/>
    <w:rsid w:val="00BB1E37"/>
    <w:rsid w:val="00BB1EC9"/>
    <w:rsid w:val="00BB455B"/>
    <w:rsid w:val="00BB4857"/>
    <w:rsid w:val="00BB4A34"/>
    <w:rsid w:val="00BB5714"/>
    <w:rsid w:val="00BB6100"/>
    <w:rsid w:val="00BB6621"/>
    <w:rsid w:val="00BC029F"/>
    <w:rsid w:val="00BC0964"/>
    <w:rsid w:val="00BC2091"/>
    <w:rsid w:val="00BC3CA5"/>
    <w:rsid w:val="00BC478E"/>
    <w:rsid w:val="00BC512B"/>
    <w:rsid w:val="00BC5D62"/>
    <w:rsid w:val="00BC61EA"/>
    <w:rsid w:val="00BC7396"/>
    <w:rsid w:val="00BC777E"/>
    <w:rsid w:val="00BD035D"/>
    <w:rsid w:val="00BD052E"/>
    <w:rsid w:val="00BD071D"/>
    <w:rsid w:val="00BD2026"/>
    <w:rsid w:val="00BD24A0"/>
    <w:rsid w:val="00BD3454"/>
    <w:rsid w:val="00BD443C"/>
    <w:rsid w:val="00BD4F5F"/>
    <w:rsid w:val="00BD5FBF"/>
    <w:rsid w:val="00BD6610"/>
    <w:rsid w:val="00BE0198"/>
    <w:rsid w:val="00BE08BB"/>
    <w:rsid w:val="00BE314E"/>
    <w:rsid w:val="00BE31AD"/>
    <w:rsid w:val="00BE354A"/>
    <w:rsid w:val="00BE39A6"/>
    <w:rsid w:val="00BE4719"/>
    <w:rsid w:val="00BE48DA"/>
    <w:rsid w:val="00BE56D3"/>
    <w:rsid w:val="00BE5C2C"/>
    <w:rsid w:val="00BE7375"/>
    <w:rsid w:val="00BE7B66"/>
    <w:rsid w:val="00BE7D67"/>
    <w:rsid w:val="00BF0124"/>
    <w:rsid w:val="00BF23DF"/>
    <w:rsid w:val="00BF338F"/>
    <w:rsid w:val="00BF3DA5"/>
    <w:rsid w:val="00BF406B"/>
    <w:rsid w:val="00BF714F"/>
    <w:rsid w:val="00BF72D2"/>
    <w:rsid w:val="00C0072D"/>
    <w:rsid w:val="00C00C0C"/>
    <w:rsid w:val="00C01AF0"/>
    <w:rsid w:val="00C02346"/>
    <w:rsid w:val="00C03557"/>
    <w:rsid w:val="00C044BF"/>
    <w:rsid w:val="00C04E92"/>
    <w:rsid w:val="00C0538F"/>
    <w:rsid w:val="00C06024"/>
    <w:rsid w:val="00C14881"/>
    <w:rsid w:val="00C14C8C"/>
    <w:rsid w:val="00C166CB"/>
    <w:rsid w:val="00C176B5"/>
    <w:rsid w:val="00C17709"/>
    <w:rsid w:val="00C20222"/>
    <w:rsid w:val="00C209D6"/>
    <w:rsid w:val="00C20BFB"/>
    <w:rsid w:val="00C213C3"/>
    <w:rsid w:val="00C2237C"/>
    <w:rsid w:val="00C22D7D"/>
    <w:rsid w:val="00C22F7D"/>
    <w:rsid w:val="00C2327B"/>
    <w:rsid w:val="00C23385"/>
    <w:rsid w:val="00C233C5"/>
    <w:rsid w:val="00C236E1"/>
    <w:rsid w:val="00C25055"/>
    <w:rsid w:val="00C252D1"/>
    <w:rsid w:val="00C25B3F"/>
    <w:rsid w:val="00C25FE9"/>
    <w:rsid w:val="00C2654D"/>
    <w:rsid w:val="00C26BC7"/>
    <w:rsid w:val="00C2766E"/>
    <w:rsid w:val="00C30E05"/>
    <w:rsid w:val="00C31595"/>
    <w:rsid w:val="00C316DD"/>
    <w:rsid w:val="00C33818"/>
    <w:rsid w:val="00C3389A"/>
    <w:rsid w:val="00C350B7"/>
    <w:rsid w:val="00C3510A"/>
    <w:rsid w:val="00C35695"/>
    <w:rsid w:val="00C367C8"/>
    <w:rsid w:val="00C3684D"/>
    <w:rsid w:val="00C36BE9"/>
    <w:rsid w:val="00C37E6D"/>
    <w:rsid w:val="00C43814"/>
    <w:rsid w:val="00C43E29"/>
    <w:rsid w:val="00C44ACC"/>
    <w:rsid w:val="00C44D77"/>
    <w:rsid w:val="00C4748A"/>
    <w:rsid w:val="00C50471"/>
    <w:rsid w:val="00C505A7"/>
    <w:rsid w:val="00C510B2"/>
    <w:rsid w:val="00C537C9"/>
    <w:rsid w:val="00C54A96"/>
    <w:rsid w:val="00C54BDF"/>
    <w:rsid w:val="00C54E0D"/>
    <w:rsid w:val="00C55F02"/>
    <w:rsid w:val="00C56BBE"/>
    <w:rsid w:val="00C56D5E"/>
    <w:rsid w:val="00C56E5B"/>
    <w:rsid w:val="00C5742B"/>
    <w:rsid w:val="00C5763E"/>
    <w:rsid w:val="00C6491B"/>
    <w:rsid w:val="00C64D9F"/>
    <w:rsid w:val="00C65DD5"/>
    <w:rsid w:val="00C65F78"/>
    <w:rsid w:val="00C67A72"/>
    <w:rsid w:val="00C70774"/>
    <w:rsid w:val="00C71C0A"/>
    <w:rsid w:val="00C7302C"/>
    <w:rsid w:val="00C75029"/>
    <w:rsid w:val="00C76F45"/>
    <w:rsid w:val="00C7700F"/>
    <w:rsid w:val="00C80117"/>
    <w:rsid w:val="00C8046C"/>
    <w:rsid w:val="00C80858"/>
    <w:rsid w:val="00C81C16"/>
    <w:rsid w:val="00C81D90"/>
    <w:rsid w:val="00C820FB"/>
    <w:rsid w:val="00C82275"/>
    <w:rsid w:val="00C827B8"/>
    <w:rsid w:val="00C83C7E"/>
    <w:rsid w:val="00C9023D"/>
    <w:rsid w:val="00C90C8A"/>
    <w:rsid w:val="00C93AD5"/>
    <w:rsid w:val="00C94031"/>
    <w:rsid w:val="00C95612"/>
    <w:rsid w:val="00C96D00"/>
    <w:rsid w:val="00C97068"/>
    <w:rsid w:val="00CA0228"/>
    <w:rsid w:val="00CA0B8D"/>
    <w:rsid w:val="00CA13BF"/>
    <w:rsid w:val="00CA20D1"/>
    <w:rsid w:val="00CA3A1E"/>
    <w:rsid w:val="00CA43E7"/>
    <w:rsid w:val="00CA4A5D"/>
    <w:rsid w:val="00CA5958"/>
    <w:rsid w:val="00CA6883"/>
    <w:rsid w:val="00CB0723"/>
    <w:rsid w:val="00CB1037"/>
    <w:rsid w:val="00CB1783"/>
    <w:rsid w:val="00CB3571"/>
    <w:rsid w:val="00CB3BBC"/>
    <w:rsid w:val="00CB4F94"/>
    <w:rsid w:val="00CB5D8A"/>
    <w:rsid w:val="00CB615D"/>
    <w:rsid w:val="00CB7A2C"/>
    <w:rsid w:val="00CC13B5"/>
    <w:rsid w:val="00CC1D19"/>
    <w:rsid w:val="00CC3A1E"/>
    <w:rsid w:val="00CC3BB8"/>
    <w:rsid w:val="00CC4248"/>
    <w:rsid w:val="00CC4362"/>
    <w:rsid w:val="00CC4FD9"/>
    <w:rsid w:val="00CC586D"/>
    <w:rsid w:val="00CC5E48"/>
    <w:rsid w:val="00CC61D4"/>
    <w:rsid w:val="00CC6CCF"/>
    <w:rsid w:val="00CC72BB"/>
    <w:rsid w:val="00CD1510"/>
    <w:rsid w:val="00CD2986"/>
    <w:rsid w:val="00CD2AD8"/>
    <w:rsid w:val="00CD3C19"/>
    <w:rsid w:val="00CD3F64"/>
    <w:rsid w:val="00CD4EBA"/>
    <w:rsid w:val="00CD4F0B"/>
    <w:rsid w:val="00CD56F8"/>
    <w:rsid w:val="00CD6618"/>
    <w:rsid w:val="00CD7AB9"/>
    <w:rsid w:val="00CE1845"/>
    <w:rsid w:val="00CE1F02"/>
    <w:rsid w:val="00CE2A5A"/>
    <w:rsid w:val="00CE2E1F"/>
    <w:rsid w:val="00CE347F"/>
    <w:rsid w:val="00CE3FAD"/>
    <w:rsid w:val="00CE42AB"/>
    <w:rsid w:val="00CE43E7"/>
    <w:rsid w:val="00CE588B"/>
    <w:rsid w:val="00CE6E73"/>
    <w:rsid w:val="00CE72BA"/>
    <w:rsid w:val="00CE730D"/>
    <w:rsid w:val="00CF0F46"/>
    <w:rsid w:val="00CF0FA4"/>
    <w:rsid w:val="00CF15A6"/>
    <w:rsid w:val="00CF2393"/>
    <w:rsid w:val="00CF2F68"/>
    <w:rsid w:val="00CF3625"/>
    <w:rsid w:val="00CF3689"/>
    <w:rsid w:val="00CF702B"/>
    <w:rsid w:val="00D01A42"/>
    <w:rsid w:val="00D023A3"/>
    <w:rsid w:val="00D02478"/>
    <w:rsid w:val="00D0302C"/>
    <w:rsid w:val="00D0389A"/>
    <w:rsid w:val="00D05AE0"/>
    <w:rsid w:val="00D06931"/>
    <w:rsid w:val="00D06F92"/>
    <w:rsid w:val="00D076BA"/>
    <w:rsid w:val="00D100F9"/>
    <w:rsid w:val="00D10BC8"/>
    <w:rsid w:val="00D126F9"/>
    <w:rsid w:val="00D132DF"/>
    <w:rsid w:val="00D13A46"/>
    <w:rsid w:val="00D148E1"/>
    <w:rsid w:val="00D163E8"/>
    <w:rsid w:val="00D17ED0"/>
    <w:rsid w:val="00D200D4"/>
    <w:rsid w:val="00D201C4"/>
    <w:rsid w:val="00D20AF7"/>
    <w:rsid w:val="00D20E2B"/>
    <w:rsid w:val="00D213B4"/>
    <w:rsid w:val="00D22AAF"/>
    <w:rsid w:val="00D23887"/>
    <w:rsid w:val="00D244CF"/>
    <w:rsid w:val="00D24C8B"/>
    <w:rsid w:val="00D25471"/>
    <w:rsid w:val="00D266F8"/>
    <w:rsid w:val="00D3192E"/>
    <w:rsid w:val="00D31991"/>
    <w:rsid w:val="00D328A4"/>
    <w:rsid w:val="00D35E3A"/>
    <w:rsid w:val="00D37704"/>
    <w:rsid w:val="00D408AA"/>
    <w:rsid w:val="00D40975"/>
    <w:rsid w:val="00D4156A"/>
    <w:rsid w:val="00D41C79"/>
    <w:rsid w:val="00D42019"/>
    <w:rsid w:val="00D433C4"/>
    <w:rsid w:val="00D4348C"/>
    <w:rsid w:val="00D4386D"/>
    <w:rsid w:val="00D44466"/>
    <w:rsid w:val="00D44B6B"/>
    <w:rsid w:val="00D452B1"/>
    <w:rsid w:val="00D46829"/>
    <w:rsid w:val="00D47258"/>
    <w:rsid w:val="00D506DD"/>
    <w:rsid w:val="00D509A3"/>
    <w:rsid w:val="00D52469"/>
    <w:rsid w:val="00D527D7"/>
    <w:rsid w:val="00D552AA"/>
    <w:rsid w:val="00D55998"/>
    <w:rsid w:val="00D55B91"/>
    <w:rsid w:val="00D60CBB"/>
    <w:rsid w:val="00D613A3"/>
    <w:rsid w:val="00D6324C"/>
    <w:rsid w:val="00D63B9B"/>
    <w:rsid w:val="00D64EB9"/>
    <w:rsid w:val="00D65B7C"/>
    <w:rsid w:val="00D71143"/>
    <w:rsid w:val="00D72725"/>
    <w:rsid w:val="00D72A9F"/>
    <w:rsid w:val="00D72C9E"/>
    <w:rsid w:val="00D737B1"/>
    <w:rsid w:val="00D73FDE"/>
    <w:rsid w:val="00D75C16"/>
    <w:rsid w:val="00D773DA"/>
    <w:rsid w:val="00D80D8C"/>
    <w:rsid w:val="00D813EF"/>
    <w:rsid w:val="00D81F32"/>
    <w:rsid w:val="00D82592"/>
    <w:rsid w:val="00D83F41"/>
    <w:rsid w:val="00D847F0"/>
    <w:rsid w:val="00D8766F"/>
    <w:rsid w:val="00D90405"/>
    <w:rsid w:val="00D91932"/>
    <w:rsid w:val="00D923ED"/>
    <w:rsid w:val="00D93AA8"/>
    <w:rsid w:val="00D93B1A"/>
    <w:rsid w:val="00D93E93"/>
    <w:rsid w:val="00D94897"/>
    <w:rsid w:val="00D95F24"/>
    <w:rsid w:val="00D97B69"/>
    <w:rsid w:val="00D97C5D"/>
    <w:rsid w:val="00DA1D2B"/>
    <w:rsid w:val="00DA20B1"/>
    <w:rsid w:val="00DA43C6"/>
    <w:rsid w:val="00DA6C8C"/>
    <w:rsid w:val="00DB0B6C"/>
    <w:rsid w:val="00DB20E8"/>
    <w:rsid w:val="00DB2172"/>
    <w:rsid w:val="00DB28EF"/>
    <w:rsid w:val="00DB3797"/>
    <w:rsid w:val="00DB4143"/>
    <w:rsid w:val="00DB6367"/>
    <w:rsid w:val="00DB72F5"/>
    <w:rsid w:val="00DC03E7"/>
    <w:rsid w:val="00DC0A14"/>
    <w:rsid w:val="00DC1747"/>
    <w:rsid w:val="00DC1A3E"/>
    <w:rsid w:val="00DC66D1"/>
    <w:rsid w:val="00DC6A89"/>
    <w:rsid w:val="00DC7010"/>
    <w:rsid w:val="00DD041E"/>
    <w:rsid w:val="00DD0761"/>
    <w:rsid w:val="00DD1615"/>
    <w:rsid w:val="00DE05EA"/>
    <w:rsid w:val="00DE17D1"/>
    <w:rsid w:val="00DE1BA0"/>
    <w:rsid w:val="00DE39B8"/>
    <w:rsid w:val="00DE3E6B"/>
    <w:rsid w:val="00DE531D"/>
    <w:rsid w:val="00DE5A1D"/>
    <w:rsid w:val="00DE6A4C"/>
    <w:rsid w:val="00DE7A84"/>
    <w:rsid w:val="00DF0565"/>
    <w:rsid w:val="00DF0D58"/>
    <w:rsid w:val="00DF2499"/>
    <w:rsid w:val="00DF3E77"/>
    <w:rsid w:val="00DF4B7A"/>
    <w:rsid w:val="00DF50E9"/>
    <w:rsid w:val="00DF617A"/>
    <w:rsid w:val="00DF7E10"/>
    <w:rsid w:val="00E00468"/>
    <w:rsid w:val="00E0176B"/>
    <w:rsid w:val="00E021D2"/>
    <w:rsid w:val="00E03392"/>
    <w:rsid w:val="00E03634"/>
    <w:rsid w:val="00E039EA"/>
    <w:rsid w:val="00E03D80"/>
    <w:rsid w:val="00E04DBA"/>
    <w:rsid w:val="00E06657"/>
    <w:rsid w:val="00E06A4F"/>
    <w:rsid w:val="00E070D7"/>
    <w:rsid w:val="00E0751D"/>
    <w:rsid w:val="00E100A2"/>
    <w:rsid w:val="00E10E8C"/>
    <w:rsid w:val="00E136F6"/>
    <w:rsid w:val="00E17724"/>
    <w:rsid w:val="00E17E5C"/>
    <w:rsid w:val="00E20995"/>
    <w:rsid w:val="00E20BA5"/>
    <w:rsid w:val="00E20EFB"/>
    <w:rsid w:val="00E21715"/>
    <w:rsid w:val="00E21AAC"/>
    <w:rsid w:val="00E22765"/>
    <w:rsid w:val="00E238E7"/>
    <w:rsid w:val="00E25600"/>
    <w:rsid w:val="00E259C5"/>
    <w:rsid w:val="00E26514"/>
    <w:rsid w:val="00E3008D"/>
    <w:rsid w:val="00E30183"/>
    <w:rsid w:val="00E3152A"/>
    <w:rsid w:val="00E315FD"/>
    <w:rsid w:val="00E31CF6"/>
    <w:rsid w:val="00E33C53"/>
    <w:rsid w:val="00E33EC8"/>
    <w:rsid w:val="00E44BBA"/>
    <w:rsid w:val="00E4508B"/>
    <w:rsid w:val="00E476C5"/>
    <w:rsid w:val="00E5067E"/>
    <w:rsid w:val="00E50B43"/>
    <w:rsid w:val="00E51467"/>
    <w:rsid w:val="00E517F6"/>
    <w:rsid w:val="00E52AC2"/>
    <w:rsid w:val="00E53836"/>
    <w:rsid w:val="00E542AC"/>
    <w:rsid w:val="00E56F44"/>
    <w:rsid w:val="00E639AD"/>
    <w:rsid w:val="00E64B0D"/>
    <w:rsid w:val="00E65B4D"/>
    <w:rsid w:val="00E66F65"/>
    <w:rsid w:val="00E70E41"/>
    <w:rsid w:val="00E71DFD"/>
    <w:rsid w:val="00E720EE"/>
    <w:rsid w:val="00E72EED"/>
    <w:rsid w:val="00E73819"/>
    <w:rsid w:val="00E73EEB"/>
    <w:rsid w:val="00E74AE4"/>
    <w:rsid w:val="00E8024E"/>
    <w:rsid w:val="00E80DC0"/>
    <w:rsid w:val="00E80DF6"/>
    <w:rsid w:val="00E80FFE"/>
    <w:rsid w:val="00E81914"/>
    <w:rsid w:val="00E82BE9"/>
    <w:rsid w:val="00E8405B"/>
    <w:rsid w:val="00E8415A"/>
    <w:rsid w:val="00E8665A"/>
    <w:rsid w:val="00E87556"/>
    <w:rsid w:val="00E87749"/>
    <w:rsid w:val="00E87A89"/>
    <w:rsid w:val="00E87E30"/>
    <w:rsid w:val="00E90E00"/>
    <w:rsid w:val="00E9198D"/>
    <w:rsid w:val="00E9348B"/>
    <w:rsid w:val="00E9420B"/>
    <w:rsid w:val="00E9460B"/>
    <w:rsid w:val="00E94F9B"/>
    <w:rsid w:val="00E95486"/>
    <w:rsid w:val="00E9570D"/>
    <w:rsid w:val="00E95C02"/>
    <w:rsid w:val="00E962CE"/>
    <w:rsid w:val="00EA0BB6"/>
    <w:rsid w:val="00EA1E95"/>
    <w:rsid w:val="00EA2CF2"/>
    <w:rsid w:val="00EA3B79"/>
    <w:rsid w:val="00EA3E99"/>
    <w:rsid w:val="00EA55A4"/>
    <w:rsid w:val="00EA6013"/>
    <w:rsid w:val="00EA6193"/>
    <w:rsid w:val="00EA6F22"/>
    <w:rsid w:val="00EB26A7"/>
    <w:rsid w:val="00EB3D74"/>
    <w:rsid w:val="00EB409D"/>
    <w:rsid w:val="00EB4409"/>
    <w:rsid w:val="00EC0758"/>
    <w:rsid w:val="00EC3320"/>
    <w:rsid w:val="00EC6F05"/>
    <w:rsid w:val="00EC7681"/>
    <w:rsid w:val="00ED050D"/>
    <w:rsid w:val="00ED1473"/>
    <w:rsid w:val="00ED1A3A"/>
    <w:rsid w:val="00ED478C"/>
    <w:rsid w:val="00ED4874"/>
    <w:rsid w:val="00ED5F5D"/>
    <w:rsid w:val="00ED68BB"/>
    <w:rsid w:val="00ED6FA3"/>
    <w:rsid w:val="00ED7868"/>
    <w:rsid w:val="00ED7CDD"/>
    <w:rsid w:val="00EE025A"/>
    <w:rsid w:val="00EE05FF"/>
    <w:rsid w:val="00EE1C8C"/>
    <w:rsid w:val="00EE3164"/>
    <w:rsid w:val="00EE4A20"/>
    <w:rsid w:val="00EE4E7D"/>
    <w:rsid w:val="00EE52FD"/>
    <w:rsid w:val="00EE5B95"/>
    <w:rsid w:val="00EE5E8A"/>
    <w:rsid w:val="00EE64CC"/>
    <w:rsid w:val="00EE6E1C"/>
    <w:rsid w:val="00EE7693"/>
    <w:rsid w:val="00EE77C4"/>
    <w:rsid w:val="00EF04B4"/>
    <w:rsid w:val="00EF090D"/>
    <w:rsid w:val="00EF09B6"/>
    <w:rsid w:val="00EF474C"/>
    <w:rsid w:val="00EF6E6A"/>
    <w:rsid w:val="00EF73D9"/>
    <w:rsid w:val="00F001A9"/>
    <w:rsid w:val="00F012E8"/>
    <w:rsid w:val="00F01301"/>
    <w:rsid w:val="00F0206E"/>
    <w:rsid w:val="00F03796"/>
    <w:rsid w:val="00F0564A"/>
    <w:rsid w:val="00F06BCB"/>
    <w:rsid w:val="00F06DBD"/>
    <w:rsid w:val="00F0703F"/>
    <w:rsid w:val="00F1090F"/>
    <w:rsid w:val="00F11701"/>
    <w:rsid w:val="00F1286B"/>
    <w:rsid w:val="00F12F74"/>
    <w:rsid w:val="00F130DF"/>
    <w:rsid w:val="00F143EE"/>
    <w:rsid w:val="00F14CBF"/>
    <w:rsid w:val="00F15FC7"/>
    <w:rsid w:val="00F16BAD"/>
    <w:rsid w:val="00F17516"/>
    <w:rsid w:val="00F17AB1"/>
    <w:rsid w:val="00F17F06"/>
    <w:rsid w:val="00F20D30"/>
    <w:rsid w:val="00F2116A"/>
    <w:rsid w:val="00F21920"/>
    <w:rsid w:val="00F220EE"/>
    <w:rsid w:val="00F225F9"/>
    <w:rsid w:val="00F22FC1"/>
    <w:rsid w:val="00F26075"/>
    <w:rsid w:val="00F26C4A"/>
    <w:rsid w:val="00F3153A"/>
    <w:rsid w:val="00F33D60"/>
    <w:rsid w:val="00F34479"/>
    <w:rsid w:val="00F349B8"/>
    <w:rsid w:val="00F353BC"/>
    <w:rsid w:val="00F357DA"/>
    <w:rsid w:val="00F375CB"/>
    <w:rsid w:val="00F3768E"/>
    <w:rsid w:val="00F40826"/>
    <w:rsid w:val="00F41A24"/>
    <w:rsid w:val="00F421C6"/>
    <w:rsid w:val="00F428EB"/>
    <w:rsid w:val="00F43F69"/>
    <w:rsid w:val="00F4487E"/>
    <w:rsid w:val="00F45A5A"/>
    <w:rsid w:val="00F46233"/>
    <w:rsid w:val="00F5116D"/>
    <w:rsid w:val="00F53391"/>
    <w:rsid w:val="00F53960"/>
    <w:rsid w:val="00F53996"/>
    <w:rsid w:val="00F54064"/>
    <w:rsid w:val="00F5429A"/>
    <w:rsid w:val="00F547B1"/>
    <w:rsid w:val="00F57913"/>
    <w:rsid w:val="00F605E0"/>
    <w:rsid w:val="00F61A94"/>
    <w:rsid w:val="00F64909"/>
    <w:rsid w:val="00F654F8"/>
    <w:rsid w:val="00F65847"/>
    <w:rsid w:val="00F679A8"/>
    <w:rsid w:val="00F67FB8"/>
    <w:rsid w:val="00F71659"/>
    <w:rsid w:val="00F718CC"/>
    <w:rsid w:val="00F723ED"/>
    <w:rsid w:val="00F738F8"/>
    <w:rsid w:val="00F73A0E"/>
    <w:rsid w:val="00F74615"/>
    <w:rsid w:val="00F75446"/>
    <w:rsid w:val="00F75F2F"/>
    <w:rsid w:val="00F76F90"/>
    <w:rsid w:val="00F77065"/>
    <w:rsid w:val="00F80B38"/>
    <w:rsid w:val="00F811E2"/>
    <w:rsid w:val="00F816BC"/>
    <w:rsid w:val="00F81E16"/>
    <w:rsid w:val="00F8226E"/>
    <w:rsid w:val="00F82B18"/>
    <w:rsid w:val="00F82F7C"/>
    <w:rsid w:val="00F83E12"/>
    <w:rsid w:val="00F83E54"/>
    <w:rsid w:val="00F83FB5"/>
    <w:rsid w:val="00F85C1A"/>
    <w:rsid w:val="00F860B9"/>
    <w:rsid w:val="00F8696C"/>
    <w:rsid w:val="00F87010"/>
    <w:rsid w:val="00F8723C"/>
    <w:rsid w:val="00F92E84"/>
    <w:rsid w:val="00F93D96"/>
    <w:rsid w:val="00F9467B"/>
    <w:rsid w:val="00F94B96"/>
    <w:rsid w:val="00F96B42"/>
    <w:rsid w:val="00F96C9D"/>
    <w:rsid w:val="00FA1FDE"/>
    <w:rsid w:val="00FA2255"/>
    <w:rsid w:val="00FA39C3"/>
    <w:rsid w:val="00FA64E3"/>
    <w:rsid w:val="00FA7BE1"/>
    <w:rsid w:val="00FB0906"/>
    <w:rsid w:val="00FB2904"/>
    <w:rsid w:val="00FB4087"/>
    <w:rsid w:val="00FB4726"/>
    <w:rsid w:val="00FB4AB5"/>
    <w:rsid w:val="00FB4C3C"/>
    <w:rsid w:val="00FC158F"/>
    <w:rsid w:val="00FC1D4F"/>
    <w:rsid w:val="00FC1FB2"/>
    <w:rsid w:val="00FC248E"/>
    <w:rsid w:val="00FC2AAF"/>
    <w:rsid w:val="00FC3680"/>
    <w:rsid w:val="00FC5CD1"/>
    <w:rsid w:val="00FC6105"/>
    <w:rsid w:val="00FC61E8"/>
    <w:rsid w:val="00FC7ADE"/>
    <w:rsid w:val="00FD0C1F"/>
    <w:rsid w:val="00FD1C1C"/>
    <w:rsid w:val="00FD1EF2"/>
    <w:rsid w:val="00FD1EFE"/>
    <w:rsid w:val="00FD20F8"/>
    <w:rsid w:val="00FD2396"/>
    <w:rsid w:val="00FD276A"/>
    <w:rsid w:val="00FD33B2"/>
    <w:rsid w:val="00FD4086"/>
    <w:rsid w:val="00FD5911"/>
    <w:rsid w:val="00FD68D7"/>
    <w:rsid w:val="00FD6F24"/>
    <w:rsid w:val="00FD7547"/>
    <w:rsid w:val="00FD7612"/>
    <w:rsid w:val="00FE34C0"/>
    <w:rsid w:val="00FE35E2"/>
    <w:rsid w:val="00FE542B"/>
    <w:rsid w:val="00FE55F9"/>
    <w:rsid w:val="00FE5B15"/>
    <w:rsid w:val="00FE64D4"/>
    <w:rsid w:val="00FE6678"/>
    <w:rsid w:val="00FE679D"/>
    <w:rsid w:val="00FE6BB3"/>
    <w:rsid w:val="00FE7B97"/>
    <w:rsid w:val="00FE7F50"/>
    <w:rsid w:val="00FF05B3"/>
    <w:rsid w:val="00FF1FF4"/>
    <w:rsid w:val="00FF2A5E"/>
    <w:rsid w:val="00FF4B58"/>
    <w:rsid w:val="00FF754C"/>
    <w:rsid w:val="00FF7D45"/>
    <w:rsid w:val="05EC0F59"/>
    <w:rsid w:val="0FE53402"/>
    <w:rsid w:val="10045146"/>
    <w:rsid w:val="155C2281"/>
    <w:rsid w:val="1BCF7D23"/>
    <w:rsid w:val="22FF1F1D"/>
    <w:rsid w:val="28D45618"/>
    <w:rsid w:val="28E018BE"/>
    <w:rsid w:val="2D207CF5"/>
    <w:rsid w:val="2F024BCF"/>
    <w:rsid w:val="3503611C"/>
    <w:rsid w:val="42631147"/>
    <w:rsid w:val="57A7755D"/>
    <w:rsid w:val="65F619C3"/>
    <w:rsid w:val="66FE1EDF"/>
    <w:rsid w:val="6D7D32DA"/>
    <w:rsid w:val="6F6479E9"/>
    <w:rsid w:val="6FD17A04"/>
    <w:rsid w:val="7006798C"/>
    <w:rsid w:val="77BB5339"/>
    <w:rsid w:val="7CD52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color w:val="000000"/>
      <w:kern w:val="2"/>
      <w:sz w:val="21"/>
      <w:szCs w:val="21"/>
      <w:lang w:val="en-US" w:eastAsia="zh-CN" w:bidi="ar-SA"/>
    </w:rPr>
  </w:style>
  <w:style w:type="paragraph" w:styleId="2">
    <w:name w:val="heading 1"/>
    <w:next w:val="3"/>
    <w:link w:val="53"/>
    <w:qFormat/>
    <w:uiPriority w:val="0"/>
    <w:pPr>
      <w:pageBreakBefore/>
      <w:widowControl w:val="0"/>
      <w:numPr>
        <w:ilvl w:val="0"/>
        <w:numId w:val="1"/>
      </w:numPr>
      <w:spacing w:before="400" w:line="360" w:lineRule="auto"/>
      <w:outlineLvl w:val="0"/>
    </w:pPr>
    <w:rPr>
      <w:rFonts w:ascii="Arial" w:hAnsi="Arial" w:eastAsia="黑体" w:cs="Times New Roman"/>
      <w:kern w:val="44"/>
      <w:sz w:val="32"/>
      <w:szCs w:val="36"/>
      <w:lang w:val="en-US" w:eastAsia="zh-CN" w:bidi="ar-SA"/>
    </w:rPr>
  </w:style>
  <w:style w:type="paragraph" w:styleId="4">
    <w:name w:val="heading 2"/>
    <w:next w:val="3"/>
    <w:link w:val="41"/>
    <w:qFormat/>
    <w:uiPriority w:val="0"/>
    <w:pPr>
      <w:widowControl w:val="0"/>
      <w:numPr>
        <w:ilvl w:val="1"/>
        <w:numId w:val="1"/>
      </w:numPr>
      <w:tabs>
        <w:tab w:val="left" w:pos="431"/>
      </w:tabs>
      <w:spacing w:before="300" w:line="360" w:lineRule="auto"/>
      <w:outlineLvl w:val="1"/>
    </w:pPr>
    <w:rPr>
      <w:rFonts w:ascii="Arial" w:hAnsi="Arial" w:eastAsia="黑体" w:cs="Times New Roman"/>
      <w:kern w:val="2"/>
      <w:sz w:val="30"/>
      <w:szCs w:val="32"/>
      <w:lang w:val="en-US" w:eastAsia="zh-CN" w:bidi="ar-SA"/>
    </w:rPr>
  </w:style>
  <w:style w:type="paragraph" w:styleId="5">
    <w:name w:val="heading 3"/>
    <w:next w:val="3"/>
    <w:link w:val="42"/>
    <w:qFormat/>
    <w:uiPriority w:val="0"/>
    <w:pPr>
      <w:widowControl w:val="0"/>
      <w:numPr>
        <w:ilvl w:val="2"/>
        <w:numId w:val="1"/>
      </w:numPr>
      <w:tabs>
        <w:tab w:val="left" w:pos="431"/>
      </w:tabs>
      <w:spacing w:before="120" w:after="120" w:line="360" w:lineRule="auto"/>
      <w:outlineLvl w:val="2"/>
    </w:pPr>
    <w:rPr>
      <w:rFonts w:ascii="Arial" w:hAnsi="Arial" w:eastAsia="黑体" w:cs="Times New Roman"/>
      <w:kern w:val="2"/>
      <w:sz w:val="28"/>
      <w:szCs w:val="32"/>
      <w:lang w:val="en-US" w:eastAsia="zh-CN" w:bidi="ar-SA"/>
    </w:rPr>
  </w:style>
  <w:style w:type="paragraph" w:styleId="6">
    <w:name w:val="heading 4"/>
    <w:next w:val="3"/>
    <w:link w:val="49"/>
    <w:qFormat/>
    <w:uiPriority w:val="0"/>
    <w:pPr>
      <w:keepNext/>
      <w:keepLines/>
      <w:numPr>
        <w:ilvl w:val="3"/>
        <w:numId w:val="1"/>
      </w:numPr>
      <w:spacing w:before="240" w:line="360" w:lineRule="auto"/>
      <w:outlineLvl w:val="3"/>
    </w:pPr>
    <w:rPr>
      <w:rFonts w:ascii="Times New Roman" w:hAnsi="Times New Roman" w:eastAsia="仿宋_GB2312" w:cs="Times New Roman"/>
      <w:b/>
      <w:kern w:val="2"/>
      <w:sz w:val="28"/>
      <w:szCs w:val="28"/>
      <w:lang w:val="en-US" w:eastAsia="zh-CN" w:bidi="ar-SA"/>
    </w:rPr>
  </w:style>
  <w:style w:type="paragraph" w:styleId="7">
    <w:name w:val="heading 5"/>
    <w:basedOn w:val="1"/>
    <w:next w:val="1"/>
    <w:qFormat/>
    <w:uiPriority w:val="0"/>
    <w:pPr>
      <w:keepNext/>
      <w:keepLines/>
      <w:numPr>
        <w:ilvl w:val="4"/>
        <w:numId w:val="1"/>
      </w:numPr>
      <w:spacing w:before="280" w:after="290" w:line="376" w:lineRule="auto"/>
      <w:outlineLvl w:val="4"/>
    </w:pPr>
    <w:rPr>
      <w:sz w:val="20"/>
      <w:szCs w:val="20"/>
    </w:rPr>
  </w:style>
  <w:style w:type="paragraph" w:styleId="8">
    <w:name w:val="heading 6"/>
    <w:basedOn w:val="1"/>
    <w:next w:val="1"/>
    <w:qFormat/>
    <w:uiPriority w:val="0"/>
    <w:pPr>
      <w:keepNext/>
      <w:keepLines/>
      <w:numPr>
        <w:ilvl w:val="5"/>
        <w:numId w:val="1"/>
      </w:numPr>
      <w:spacing w:before="240" w:after="64" w:line="320" w:lineRule="auto"/>
      <w:outlineLvl w:val="5"/>
    </w:pPr>
    <w:rPr>
      <w:sz w:val="16"/>
      <w:szCs w:val="16"/>
    </w:rPr>
  </w:style>
  <w:style w:type="paragraph" w:styleId="9">
    <w:name w:val="heading 7"/>
    <w:basedOn w:val="1"/>
    <w:next w:val="1"/>
    <w:qFormat/>
    <w:uiPriority w:val="0"/>
    <w:pPr>
      <w:keepNext/>
      <w:keepLines/>
      <w:numPr>
        <w:ilvl w:val="6"/>
        <w:numId w:val="1"/>
      </w:numPr>
      <w:spacing w:before="240" w:after="64" w:line="320" w:lineRule="auto"/>
      <w:outlineLvl w:val="6"/>
    </w:pPr>
    <w:rPr>
      <w:b/>
      <w:bCs/>
      <w:sz w:val="24"/>
      <w:szCs w:val="24"/>
    </w:rPr>
  </w:style>
  <w:style w:type="paragraph" w:styleId="10">
    <w:name w:val="heading 8"/>
    <w:basedOn w:val="1"/>
    <w:next w:val="1"/>
    <w:qFormat/>
    <w:uiPriority w:val="0"/>
    <w:pPr>
      <w:keepNext/>
      <w:keepLines/>
      <w:numPr>
        <w:ilvl w:val="7"/>
        <w:numId w:val="1"/>
      </w:numPr>
      <w:spacing w:before="240" w:after="64" w:line="320" w:lineRule="auto"/>
      <w:outlineLvl w:val="7"/>
    </w:pPr>
    <w:rPr>
      <w:rFonts w:ascii="Arial" w:hAnsi="Arial" w:eastAsia="黑体"/>
      <w:sz w:val="24"/>
      <w:szCs w:val="24"/>
    </w:rPr>
  </w:style>
  <w:style w:type="paragraph" w:styleId="11">
    <w:name w:val="heading 9"/>
    <w:basedOn w:val="1"/>
    <w:next w:val="1"/>
    <w:qFormat/>
    <w:uiPriority w:val="0"/>
    <w:pPr>
      <w:keepNext/>
      <w:keepLines/>
      <w:numPr>
        <w:ilvl w:val="8"/>
        <w:numId w:val="1"/>
      </w:numPr>
      <w:spacing w:before="240" w:after="64" w:line="320" w:lineRule="auto"/>
      <w:outlineLvl w:val="8"/>
    </w:pPr>
    <w:rPr>
      <w:rFonts w:ascii="Arial" w:hAnsi="Arial" w:eastAsia="黑体"/>
    </w:rPr>
  </w:style>
  <w:style w:type="character" w:default="1" w:styleId="35">
    <w:name w:val="Default Paragraph Font"/>
    <w:unhideWhenUsed/>
    <w:qFormat/>
    <w:uiPriority w:val="1"/>
  </w:style>
  <w:style w:type="table" w:default="1" w:styleId="32">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First Indent 2"/>
    <w:link w:val="40"/>
    <w:qFormat/>
    <w:uiPriority w:val="0"/>
    <w:pPr>
      <w:widowControl w:val="0"/>
      <w:spacing w:line="560" w:lineRule="exact"/>
      <w:ind w:firstLine="1056" w:firstLineChars="200"/>
      <w:jc w:val="both"/>
    </w:pPr>
    <w:rPr>
      <w:rFonts w:ascii="Times New Roman" w:hAnsi="Times New Roman" w:eastAsia="仿宋_GB2312" w:cs="Times New Roman"/>
      <w:spacing w:val="4"/>
      <w:kern w:val="2"/>
      <w:sz w:val="28"/>
      <w:szCs w:val="28"/>
      <w:lang w:val="en-US" w:eastAsia="zh-CN" w:bidi="ar-SA"/>
    </w:rPr>
  </w:style>
  <w:style w:type="paragraph" w:styleId="12">
    <w:name w:val="toc 7"/>
    <w:basedOn w:val="1"/>
    <w:next w:val="1"/>
    <w:semiHidden/>
    <w:qFormat/>
    <w:uiPriority w:val="0"/>
    <w:pPr>
      <w:jc w:val="left"/>
    </w:pPr>
    <w:rPr>
      <w:rFonts w:ascii="Times New Roman" w:hAnsi="Times New Roman"/>
      <w:sz w:val="22"/>
      <w:szCs w:val="22"/>
    </w:rPr>
  </w:style>
  <w:style w:type="paragraph" w:styleId="13">
    <w:name w:val="caption"/>
    <w:next w:val="3"/>
    <w:link w:val="50"/>
    <w:qFormat/>
    <w:uiPriority w:val="0"/>
    <w:pPr>
      <w:spacing w:before="120" w:after="60"/>
      <w:jc w:val="center"/>
    </w:pPr>
    <w:rPr>
      <w:rFonts w:ascii="Times New Roman" w:hAnsi="Times New Roman" w:eastAsia="黑体" w:cs="Arial"/>
      <w:kern w:val="2"/>
      <w:sz w:val="24"/>
      <w:szCs w:val="28"/>
      <w:lang w:val="en-US" w:eastAsia="zh-CN" w:bidi="ar-SA"/>
    </w:rPr>
  </w:style>
  <w:style w:type="paragraph" w:styleId="14">
    <w:name w:val="Document Map"/>
    <w:basedOn w:val="1"/>
    <w:semiHidden/>
    <w:qFormat/>
    <w:uiPriority w:val="0"/>
    <w:pPr>
      <w:shd w:val="clear" w:color="auto" w:fill="000080"/>
    </w:pPr>
  </w:style>
  <w:style w:type="paragraph" w:styleId="15">
    <w:name w:val="annotation text"/>
    <w:basedOn w:val="1"/>
    <w:link w:val="55"/>
    <w:qFormat/>
    <w:uiPriority w:val="99"/>
    <w:pPr>
      <w:jc w:val="left"/>
    </w:pPr>
  </w:style>
  <w:style w:type="paragraph" w:styleId="16">
    <w:name w:val="Body Text Indent"/>
    <w:basedOn w:val="1"/>
    <w:semiHidden/>
    <w:qFormat/>
    <w:uiPriority w:val="0"/>
    <w:pPr>
      <w:ind w:firstLine="885" w:firstLineChars="200"/>
    </w:pPr>
    <w:rPr>
      <w:rFonts w:ascii="Times New Roman" w:hAnsi="Times New Roman"/>
      <w:color w:val="auto"/>
      <w:sz w:val="28"/>
      <w:szCs w:val="24"/>
    </w:rPr>
  </w:style>
  <w:style w:type="paragraph" w:styleId="17">
    <w:name w:val="toc 5"/>
    <w:basedOn w:val="1"/>
    <w:next w:val="1"/>
    <w:semiHidden/>
    <w:qFormat/>
    <w:uiPriority w:val="0"/>
    <w:pPr>
      <w:jc w:val="left"/>
    </w:pPr>
    <w:rPr>
      <w:rFonts w:ascii="Times New Roman" w:hAnsi="Times New Roman"/>
      <w:sz w:val="22"/>
      <w:szCs w:val="22"/>
    </w:rPr>
  </w:style>
  <w:style w:type="paragraph" w:styleId="18">
    <w:name w:val="toc 3"/>
    <w:basedOn w:val="1"/>
    <w:next w:val="1"/>
    <w:qFormat/>
    <w:uiPriority w:val="39"/>
    <w:pPr>
      <w:spacing w:line="400" w:lineRule="exact"/>
      <w:ind w:left="100" w:leftChars="100"/>
      <w:jc w:val="left"/>
    </w:pPr>
    <w:rPr>
      <w:rFonts w:ascii="Times New Roman" w:hAnsi="Times New Roman"/>
      <w:smallCaps/>
      <w:sz w:val="24"/>
      <w:szCs w:val="22"/>
    </w:rPr>
  </w:style>
  <w:style w:type="paragraph" w:styleId="19">
    <w:name w:val="toc 8"/>
    <w:basedOn w:val="1"/>
    <w:next w:val="1"/>
    <w:semiHidden/>
    <w:qFormat/>
    <w:uiPriority w:val="0"/>
    <w:pPr>
      <w:jc w:val="left"/>
    </w:pPr>
    <w:rPr>
      <w:rFonts w:ascii="Times New Roman" w:hAnsi="Times New Roman"/>
      <w:sz w:val="22"/>
      <w:szCs w:val="22"/>
    </w:rPr>
  </w:style>
  <w:style w:type="paragraph" w:styleId="20">
    <w:name w:val="endnote text"/>
    <w:basedOn w:val="1"/>
    <w:link w:val="54"/>
    <w:qFormat/>
    <w:uiPriority w:val="0"/>
    <w:pPr>
      <w:snapToGrid w:val="0"/>
      <w:jc w:val="left"/>
    </w:pPr>
  </w:style>
  <w:style w:type="paragraph" w:styleId="21">
    <w:name w:val="Balloon Text"/>
    <w:basedOn w:val="1"/>
    <w:semiHidden/>
    <w:qFormat/>
    <w:uiPriority w:val="0"/>
    <w:rPr>
      <w:sz w:val="18"/>
      <w:szCs w:val="18"/>
    </w:rPr>
  </w:style>
  <w:style w:type="paragraph" w:styleId="22">
    <w:name w:val="footer"/>
    <w:basedOn w:val="1"/>
    <w:link w:val="58"/>
    <w:qFormat/>
    <w:uiPriority w:val="99"/>
    <w:pPr>
      <w:tabs>
        <w:tab w:val="center" w:pos="4153"/>
        <w:tab w:val="right" w:pos="8306"/>
      </w:tabs>
      <w:snapToGrid w:val="0"/>
      <w:jc w:val="left"/>
    </w:pPr>
    <w:rPr>
      <w:sz w:val="18"/>
      <w:szCs w:val="18"/>
    </w:rPr>
  </w:style>
  <w:style w:type="paragraph" w:styleId="23">
    <w:name w:val="header"/>
    <w:basedOn w:val="1"/>
    <w:link w:val="57"/>
    <w:qFormat/>
    <w:uiPriority w:val="99"/>
    <w:pPr>
      <w:pBdr>
        <w:bottom w:val="double" w:color="auto" w:sz="4" w:space="1"/>
      </w:pBdr>
      <w:tabs>
        <w:tab w:val="center" w:pos="4153"/>
        <w:tab w:val="right" w:pos="8306"/>
      </w:tabs>
      <w:snapToGrid w:val="0"/>
      <w:jc w:val="center"/>
    </w:pPr>
    <w:rPr>
      <w:sz w:val="18"/>
      <w:szCs w:val="18"/>
    </w:rPr>
  </w:style>
  <w:style w:type="paragraph" w:styleId="24">
    <w:name w:val="toc 1"/>
    <w:basedOn w:val="1"/>
    <w:next w:val="1"/>
    <w:qFormat/>
    <w:uiPriority w:val="39"/>
    <w:pPr>
      <w:spacing w:before="120" w:line="400" w:lineRule="exact"/>
      <w:jc w:val="left"/>
    </w:pPr>
    <w:rPr>
      <w:rFonts w:ascii="Arial" w:hAnsi="Arial" w:eastAsia="黑体"/>
      <w:bCs/>
      <w:caps/>
      <w:sz w:val="28"/>
      <w:szCs w:val="22"/>
    </w:rPr>
  </w:style>
  <w:style w:type="paragraph" w:styleId="25">
    <w:name w:val="toc 4"/>
    <w:basedOn w:val="1"/>
    <w:next w:val="1"/>
    <w:semiHidden/>
    <w:qFormat/>
    <w:uiPriority w:val="0"/>
    <w:pPr>
      <w:jc w:val="left"/>
    </w:pPr>
    <w:rPr>
      <w:rFonts w:ascii="Times New Roman" w:hAnsi="Times New Roman"/>
      <w:sz w:val="22"/>
      <w:szCs w:val="22"/>
    </w:rPr>
  </w:style>
  <w:style w:type="paragraph" w:styleId="26">
    <w:name w:val="toc 6"/>
    <w:basedOn w:val="1"/>
    <w:next w:val="1"/>
    <w:semiHidden/>
    <w:qFormat/>
    <w:uiPriority w:val="0"/>
    <w:pPr>
      <w:jc w:val="left"/>
    </w:pPr>
    <w:rPr>
      <w:rFonts w:ascii="Times New Roman" w:hAnsi="Times New Roman"/>
      <w:sz w:val="22"/>
      <w:szCs w:val="22"/>
    </w:rPr>
  </w:style>
  <w:style w:type="paragraph" w:styleId="27">
    <w:name w:val="toc 2"/>
    <w:basedOn w:val="1"/>
    <w:next w:val="1"/>
    <w:qFormat/>
    <w:uiPriority w:val="39"/>
    <w:pPr>
      <w:spacing w:line="400" w:lineRule="exact"/>
      <w:ind w:firstLine="200" w:firstLineChars="200"/>
      <w:jc w:val="left"/>
    </w:pPr>
    <w:rPr>
      <w:rFonts w:ascii="Arial" w:hAnsi="Arial" w:eastAsia="黑体"/>
      <w:bCs/>
      <w:smallCaps/>
      <w:sz w:val="24"/>
      <w:szCs w:val="22"/>
    </w:rPr>
  </w:style>
  <w:style w:type="paragraph" w:styleId="28">
    <w:name w:val="toc 9"/>
    <w:basedOn w:val="1"/>
    <w:next w:val="1"/>
    <w:semiHidden/>
    <w:qFormat/>
    <w:uiPriority w:val="0"/>
    <w:pPr>
      <w:jc w:val="left"/>
    </w:pPr>
    <w:rPr>
      <w:rFonts w:ascii="Times New Roman" w:hAnsi="Times New Roman"/>
      <w:sz w:val="22"/>
      <w:szCs w:val="22"/>
    </w:rPr>
  </w:style>
  <w:style w:type="paragraph" w:styleId="29">
    <w:name w:val="HTML Preformatted"/>
    <w:basedOn w:val="1"/>
    <w:link w:val="5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宋体"/>
      <w:kern w:val="0"/>
      <w:sz w:val="24"/>
      <w:szCs w:val="24"/>
    </w:rPr>
  </w:style>
  <w:style w:type="paragraph" w:styleId="30">
    <w:name w:val="Title"/>
    <w:next w:val="3"/>
    <w:qFormat/>
    <w:uiPriority w:val="0"/>
    <w:pPr>
      <w:spacing w:before="240" w:after="60"/>
      <w:jc w:val="center"/>
      <w:outlineLvl w:val="0"/>
    </w:pPr>
    <w:rPr>
      <w:rFonts w:ascii="Arial" w:hAnsi="Arial" w:eastAsia="黑体" w:cs="Arial"/>
      <w:bCs/>
      <w:color w:val="000000"/>
      <w:kern w:val="2"/>
      <w:sz w:val="32"/>
      <w:szCs w:val="32"/>
      <w:lang w:val="en-US" w:eastAsia="zh-CN" w:bidi="ar-SA"/>
    </w:rPr>
  </w:style>
  <w:style w:type="paragraph" w:styleId="31">
    <w:name w:val="annotation subject"/>
    <w:basedOn w:val="15"/>
    <w:next w:val="15"/>
    <w:link w:val="56"/>
    <w:qFormat/>
    <w:uiPriority w:val="0"/>
    <w:rPr>
      <w:b/>
      <w:bCs/>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4">
    <w:name w:val="Table Theme"/>
    <w:basedOn w:val="32"/>
    <w:qFormat/>
    <w:uiPriority w:val="0"/>
    <w:pPr>
      <w:widowControl w:val="0"/>
      <w:adjustRightInd w:val="0"/>
      <w:snapToGrid w:val="0"/>
      <w:jc w:val="center"/>
    </w:pPr>
    <w:rPr>
      <w:sz w:val="24"/>
      <w:szCs w:val="24"/>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
    <w:trPr>
      <w:jc w:val="center"/>
    </w:trPr>
    <w:tcPr>
      <w:tcMar>
        <w:left w:w="28" w:type="dxa"/>
        <w:right w:w="28" w:type="dxa"/>
      </w:tcMar>
      <w:vAlign w:val="center"/>
    </w:tcPr>
    <w:tblStylePr w:type="firstRow">
      <w:pPr>
        <w:wordWrap/>
        <w:spacing w:before="40" w:beforeLines="0" w:beforeAutospacing="0" w:after="40" w:afterLines="0" w:afterAutospacing="0" w:line="240" w:lineRule="auto"/>
        <w:ind w:left="0" w:leftChars="0" w:right="0" w:rightChars="0"/>
      </w:pPr>
      <w:rPr>
        <w:rFonts w:ascii="Times New Roman" w:hAnsi="Times New Roman" w:eastAsia="宋体"/>
        <w:sz w:val="21"/>
      </w:rPr>
      <w:tcPr>
        <w:tcBorders>
          <w:top w:val="single" w:color="auto" w:sz="12" w:space="0"/>
          <w:left w:val="single" w:color="auto" w:sz="12" w:space="0"/>
          <w:bottom w:val="single" w:color="auto" w:sz="4" w:space="0"/>
          <w:right w:val="single" w:color="auto" w:sz="12" w:space="0"/>
          <w:insideH w:val="single" w:sz="4" w:space="0"/>
          <w:insideV w:val="single" w:sz="4" w:space="0"/>
        </w:tcBorders>
      </w:tcPr>
    </w:tblStylePr>
    <w:tblStylePr w:type="firstCol">
      <w:pPr>
        <w:keepNext w:val="0"/>
        <w:keepLines w:val="0"/>
        <w:pageBreakBefore w:val="0"/>
        <w:widowControl w:val="0"/>
        <w:suppressLineNumbers w:val="0"/>
        <w:suppressAutoHyphens w:val="0"/>
        <w:wordWrap/>
        <w:spacing w:before="40" w:beforeLines="0" w:beforeAutospacing="0" w:after="40" w:afterLines="0" w:afterAutospacing="0" w:line="240" w:lineRule="auto"/>
        <w:ind w:left="0" w:leftChars="0" w:right="0" w:rightChars="0"/>
      </w:pPr>
      <w:rPr>
        <w:rFonts w:ascii="Times New Roman" w:hAnsi="Times New Roman" w:eastAsia="宋体"/>
        <w:b w:val="0"/>
        <w:sz w:val="21"/>
      </w:rPr>
    </w:tblStylePr>
  </w:style>
  <w:style w:type="character" w:styleId="36">
    <w:name w:val="endnote reference"/>
    <w:basedOn w:val="35"/>
    <w:qFormat/>
    <w:uiPriority w:val="0"/>
    <w:rPr>
      <w:vertAlign w:val="superscript"/>
    </w:rPr>
  </w:style>
  <w:style w:type="character" w:styleId="37">
    <w:name w:val="page number"/>
    <w:basedOn w:val="35"/>
    <w:qFormat/>
    <w:uiPriority w:val="99"/>
  </w:style>
  <w:style w:type="character" w:styleId="38">
    <w:name w:val="Hyperlink"/>
    <w:basedOn w:val="35"/>
    <w:qFormat/>
    <w:uiPriority w:val="99"/>
    <w:rPr>
      <w:color w:val="0000FF"/>
      <w:u w:val="single"/>
    </w:rPr>
  </w:style>
  <w:style w:type="character" w:styleId="39">
    <w:name w:val="annotation reference"/>
    <w:basedOn w:val="35"/>
    <w:qFormat/>
    <w:uiPriority w:val="99"/>
    <w:rPr>
      <w:sz w:val="21"/>
      <w:szCs w:val="21"/>
    </w:rPr>
  </w:style>
  <w:style w:type="character" w:customStyle="1" w:styleId="40">
    <w:name w:val="正文首行缩进 2 Char"/>
    <w:basedOn w:val="35"/>
    <w:link w:val="3"/>
    <w:qFormat/>
    <w:uiPriority w:val="0"/>
    <w:rPr>
      <w:rFonts w:eastAsia="仿宋_GB2312"/>
      <w:spacing w:val="4"/>
      <w:kern w:val="2"/>
      <w:sz w:val="28"/>
      <w:szCs w:val="28"/>
      <w:lang w:val="en-US" w:eastAsia="zh-CN" w:bidi="ar-SA"/>
    </w:rPr>
  </w:style>
  <w:style w:type="character" w:customStyle="1" w:styleId="41">
    <w:name w:val="标题 2 Char"/>
    <w:basedOn w:val="35"/>
    <w:link w:val="4"/>
    <w:qFormat/>
    <w:uiPriority w:val="0"/>
    <w:rPr>
      <w:rFonts w:ascii="Arial" w:hAnsi="Arial" w:eastAsia="黑体"/>
      <w:kern w:val="2"/>
      <w:sz w:val="30"/>
      <w:szCs w:val="32"/>
    </w:rPr>
  </w:style>
  <w:style w:type="character" w:customStyle="1" w:styleId="42">
    <w:name w:val="标题 3 Char"/>
    <w:basedOn w:val="35"/>
    <w:link w:val="5"/>
    <w:qFormat/>
    <w:uiPriority w:val="0"/>
    <w:rPr>
      <w:rFonts w:ascii="Arial" w:hAnsi="Arial" w:eastAsia="黑体"/>
      <w:kern w:val="2"/>
      <w:sz w:val="28"/>
      <w:szCs w:val="32"/>
    </w:rPr>
  </w:style>
  <w:style w:type="paragraph" w:customStyle="1" w:styleId="43">
    <w:name w:val="说明或注释"/>
    <w:next w:val="3"/>
    <w:qFormat/>
    <w:uiPriority w:val="0"/>
    <w:pPr>
      <w:adjustRightInd w:val="0"/>
      <w:snapToGrid w:val="0"/>
      <w:ind w:firstLine="200" w:firstLineChars="200"/>
    </w:pPr>
    <w:rPr>
      <w:rFonts w:ascii="Times New Roman" w:hAnsi="Times New Roman" w:eastAsia="楷体_GB2312" w:cs="Times New Roman"/>
      <w:kern w:val="2"/>
      <w:sz w:val="18"/>
      <w:szCs w:val="24"/>
      <w:lang w:val="en-US" w:eastAsia="zh-CN" w:bidi="ar-SA"/>
    </w:rPr>
  </w:style>
  <w:style w:type="paragraph" w:customStyle="1" w:styleId="44">
    <w:name w:val="单位"/>
    <w:next w:val="3"/>
    <w:link w:val="45"/>
    <w:qFormat/>
    <w:uiPriority w:val="0"/>
    <w:pPr>
      <w:keepNext/>
      <w:adjustRightInd w:val="0"/>
      <w:snapToGrid w:val="0"/>
      <w:spacing w:line="360" w:lineRule="auto"/>
      <w:ind w:right="50" w:rightChars="50"/>
      <w:jc w:val="right"/>
    </w:pPr>
    <w:rPr>
      <w:rFonts w:ascii="Times New Roman" w:hAnsi="Times New Roman" w:eastAsia="宋体" w:cs="Arial"/>
      <w:kern w:val="2"/>
      <w:sz w:val="21"/>
      <w:szCs w:val="24"/>
      <w:lang w:val="en-US" w:eastAsia="zh-CN" w:bidi="ar-SA"/>
    </w:rPr>
  </w:style>
  <w:style w:type="character" w:customStyle="1" w:styleId="45">
    <w:name w:val="单位 Char"/>
    <w:basedOn w:val="35"/>
    <w:link w:val="44"/>
    <w:qFormat/>
    <w:uiPriority w:val="0"/>
    <w:rPr>
      <w:rFonts w:eastAsia="宋体" w:cs="Arial"/>
      <w:kern w:val="2"/>
      <w:sz w:val="21"/>
      <w:szCs w:val="24"/>
      <w:lang w:val="en-US" w:eastAsia="zh-CN" w:bidi="ar-SA"/>
    </w:rPr>
  </w:style>
  <w:style w:type="paragraph" w:customStyle="1" w:styleId="46">
    <w:name w:val="需要修改"/>
    <w:basedOn w:val="3"/>
    <w:next w:val="3"/>
    <w:link w:val="47"/>
    <w:qFormat/>
    <w:uiPriority w:val="0"/>
    <w:rPr>
      <w:rFonts w:ascii="宋体" w:hAnsi="宋体"/>
      <w:color w:val="FF0000"/>
    </w:rPr>
  </w:style>
  <w:style w:type="character" w:customStyle="1" w:styleId="47">
    <w:name w:val="需要修改 Char Char"/>
    <w:basedOn w:val="40"/>
    <w:link w:val="46"/>
    <w:qFormat/>
    <w:uiPriority w:val="0"/>
    <w:rPr>
      <w:rFonts w:ascii="宋体" w:hAnsi="宋体" w:eastAsia="宋体"/>
      <w:color w:val="FF0000"/>
      <w:spacing w:val="4"/>
      <w:kern w:val="2"/>
      <w:sz w:val="24"/>
      <w:szCs w:val="28"/>
      <w:lang w:val="en-US" w:eastAsia="zh-CN" w:bidi="ar-SA"/>
    </w:rPr>
  </w:style>
  <w:style w:type="paragraph" w:customStyle="1" w:styleId="48">
    <w:name w:val="表中文字"/>
    <w:next w:val="1"/>
    <w:qFormat/>
    <w:uiPriority w:val="0"/>
    <w:pPr>
      <w:widowControl w:val="0"/>
      <w:spacing w:before="40" w:after="40"/>
      <w:jc w:val="center"/>
    </w:pPr>
    <w:rPr>
      <w:rFonts w:ascii="Times New Roman" w:hAnsi="Times New Roman" w:eastAsia="宋体" w:cs="Arial"/>
      <w:kern w:val="2"/>
      <w:sz w:val="21"/>
      <w:szCs w:val="24"/>
      <w:lang w:val="en-US" w:eastAsia="zh-CN" w:bidi="ar-SA"/>
    </w:rPr>
  </w:style>
  <w:style w:type="character" w:customStyle="1" w:styleId="49">
    <w:name w:val="标题 4 Char"/>
    <w:basedOn w:val="35"/>
    <w:link w:val="6"/>
    <w:qFormat/>
    <w:uiPriority w:val="0"/>
    <w:rPr>
      <w:rFonts w:eastAsia="仿宋_GB2312"/>
      <w:b/>
      <w:kern w:val="2"/>
      <w:sz w:val="28"/>
      <w:szCs w:val="28"/>
    </w:rPr>
  </w:style>
  <w:style w:type="character" w:customStyle="1" w:styleId="50">
    <w:name w:val="题注 Char"/>
    <w:basedOn w:val="35"/>
    <w:link w:val="13"/>
    <w:qFormat/>
    <w:uiPriority w:val="0"/>
    <w:rPr>
      <w:rFonts w:eastAsia="黑体" w:cs="Arial"/>
      <w:kern w:val="2"/>
      <w:sz w:val="24"/>
      <w:szCs w:val="28"/>
      <w:lang w:val="en-US" w:eastAsia="zh-CN" w:bidi="ar-SA"/>
    </w:rPr>
  </w:style>
  <w:style w:type="paragraph" w:customStyle="1" w:styleId="51">
    <w:name w:val="编章标题"/>
    <w:next w:val="3"/>
    <w:qFormat/>
    <w:uiPriority w:val="0"/>
    <w:pPr>
      <w:spacing w:before="300" w:after="300"/>
      <w:jc w:val="center"/>
    </w:pPr>
    <w:rPr>
      <w:rFonts w:ascii="Arial" w:hAnsi="Arial" w:eastAsia="黑体" w:cs="Times New Roman"/>
      <w:b/>
      <w:spacing w:val="20"/>
      <w:kern w:val="2"/>
      <w:sz w:val="52"/>
      <w:szCs w:val="44"/>
      <w:lang w:val="en-US" w:eastAsia="zh-CN" w:bidi="ar-SA"/>
    </w:rPr>
  </w:style>
  <w:style w:type="character" w:customStyle="1" w:styleId="52">
    <w:name w:val="HTML 预设格式 Char"/>
    <w:basedOn w:val="35"/>
    <w:link w:val="29"/>
    <w:qFormat/>
    <w:uiPriority w:val="0"/>
    <w:rPr>
      <w:rFonts w:ascii="宋体" w:hAnsi="宋体" w:cs="宋体"/>
      <w:color w:val="000000"/>
      <w:sz w:val="24"/>
      <w:szCs w:val="24"/>
    </w:rPr>
  </w:style>
  <w:style w:type="character" w:customStyle="1" w:styleId="53">
    <w:name w:val="标题 1 Char"/>
    <w:basedOn w:val="35"/>
    <w:link w:val="2"/>
    <w:qFormat/>
    <w:locked/>
    <w:uiPriority w:val="0"/>
    <w:rPr>
      <w:rFonts w:ascii="Arial" w:hAnsi="Arial" w:eastAsia="黑体"/>
      <w:kern w:val="44"/>
      <w:sz w:val="32"/>
      <w:szCs w:val="36"/>
    </w:rPr>
  </w:style>
  <w:style w:type="character" w:customStyle="1" w:styleId="54">
    <w:name w:val="尾注文本 Char"/>
    <w:basedOn w:val="35"/>
    <w:link w:val="20"/>
    <w:qFormat/>
    <w:uiPriority w:val="0"/>
    <w:rPr>
      <w:rFonts w:ascii="宋体" w:hAnsi="宋体"/>
      <w:color w:val="000000"/>
      <w:kern w:val="2"/>
      <w:sz w:val="21"/>
      <w:szCs w:val="21"/>
    </w:rPr>
  </w:style>
  <w:style w:type="character" w:customStyle="1" w:styleId="55">
    <w:name w:val="批注文字 Char"/>
    <w:basedOn w:val="35"/>
    <w:link w:val="15"/>
    <w:qFormat/>
    <w:uiPriority w:val="99"/>
    <w:rPr>
      <w:rFonts w:ascii="宋体" w:hAnsi="宋体"/>
      <w:color w:val="000000"/>
      <w:kern w:val="2"/>
      <w:sz w:val="21"/>
      <w:szCs w:val="21"/>
    </w:rPr>
  </w:style>
  <w:style w:type="character" w:customStyle="1" w:styleId="56">
    <w:name w:val="批注主题 Char"/>
    <w:basedOn w:val="55"/>
    <w:link w:val="31"/>
    <w:qFormat/>
    <w:uiPriority w:val="0"/>
    <w:rPr>
      <w:rFonts w:ascii="宋体" w:hAnsi="宋体"/>
      <w:b/>
      <w:bCs/>
      <w:color w:val="000000"/>
      <w:kern w:val="2"/>
      <w:sz w:val="21"/>
      <w:szCs w:val="21"/>
    </w:rPr>
  </w:style>
  <w:style w:type="character" w:customStyle="1" w:styleId="57">
    <w:name w:val="页眉 Char"/>
    <w:basedOn w:val="35"/>
    <w:link w:val="23"/>
    <w:qFormat/>
    <w:locked/>
    <w:uiPriority w:val="99"/>
    <w:rPr>
      <w:rFonts w:ascii="宋体" w:hAnsi="宋体"/>
      <w:color w:val="000000"/>
      <w:kern w:val="2"/>
      <w:sz w:val="18"/>
      <w:szCs w:val="18"/>
    </w:rPr>
  </w:style>
  <w:style w:type="character" w:customStyle="1" w:styleId="58">
    <w:name w:val="页脚 Char"/>
    <w:basedOn w:val="35"/>
    <w:link w:val="22"/>
    <w:qFormat/>
    <w:locked/>
    <w:uiPriority w:val="99"/>
    <w:rPr>
      <w:rFonts w:ascii="宋体" w:hAnsi="宋体"/>
      <w:color w:val="000000"/>
      <w:kern w:val="2"/>
      <w:sz w:val="18"/>
      <w:szCs w:val="18"/>
    </w:rPr>
  </w:style>
  <w:style w:type="paragraph" w:customStyle="1" w:styleId="59">
    <w:name w:val="Char Char Char Char Char Char Char"/>
    <w:basedOn w:val="1"/>
    <w:semiHidden/>
    <w:qFormat/>
    <w:uiPriority w:val="0"/>
    <w:pPr>
      <w:widowControl/>
      <w:suppressAutoHyphens/>
      <w:overflowPunct w:val="0"/>
      <w:spacing w:line="360" w:lineRule="exact"/>
      <w:ind w:firstLine="200" w:firstLineChars="200"/>
      <w:jc w:val="left"/>
    </w:pPr>
    <w:rPr>
      <w:rFonts w:ascii="Times New Roman" w:hAnsi="Times New Roman" w:cs="宋体"/>
      <w:color w:val="auto"/>
      <w:kern w:val="0"/>
      <w:sz w:val="28"/>
      <w:szCs w:val="28"/>
    </w:rPr>
  </w:style>
  <w:style w:type="paragraph" w:customStyle="1" w:styleId="60">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61">
    <w:name w:val="修订1"/>
    <w:hidden/>
    <w:semiHidden/>
    <w:unhideWhenUsed/>
    <w:qFormat/>
    <w:uiPriority w:val="99"/>
    <w:rPr>
      <w:rFonts w:ascii="宋体" w:hAnsi="宋体" w:eastAsia="宋体" w:cs="Times New Roman"/>
      <w:color w:val="000000"/>
      <w:kern w:val="2"/>
      <w:sz w:val="21"/>
      <w:szCs w:val="21"/>
      <w:lang w:val="en-US" w:eastAsia="zh-CN" w:bidi="ar-SA"/>
    </w:rPr>
  </w:style>
  <w:style w:type="paragraph" w:styleId="6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76F114-6B65-4C4C-A92E-D1EF7349566F}">
  <ds:schemaRefs/>
</ds:datastoreItem>
</file>

<file path=docProps/app.xml><?xml version="1.0" encoding="utf-8"?>
<Properties xmlns="http://schemas.openxmlformats.org/officeDocument/2006/extended-properties" xmlns:vt="http://schemas.openxmlformats.org/officeDocument/2006/docPropsVTypes">
  <Template>Normal.dotm</Template>
  <Company>昆明勘测设计研究院</Company>
  <Pages>73</Pages>
  <Words>6428</Words>
  <Characters>36646</Characters>
  <Lines>305</Lines>
  <Paragraphs>85</Paragraphs>
  <TotalTime>1314</TotalTime>
  <ScaleCrop>false</ScaleCrop>
  <LinksUpToDate>false</LinksUpToDate>
  <CharactersWithSpaces>42989</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2020-09-25T03:32:00Z</dcterms:created>
  <dc:creator>erukl</dc:creator>
  <cp:lastModifiedBy>Administrator</cp:lastModifiedBy>
  <cp:lastPrinted>2021-01-25T02:02:00Z</cp:lastPrinted>
  <dcterms:modified xsi:type="dcterms:W3CDTF">2021-04-02T01:07:46Z</dcterms:modified>
  <dc:title>报告模版</dc:title>
  <cp:revision>407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Pixel 011</vt:lpwstr>
  </property>
  <property fmtid="{D5CDD505-2E9C-101B-9397-08002B2CF9AE}" pid="3" name="KSOProductBuildVer">
    <vt:lpwstr>2052-11.8.6.8722</vt:lpwstr>
  </property>
</Properties>
</file>