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46" w:rsidRPr="00687D46" w:rsidRDefault="00687D46" w:rsidP="00687D46">
      <w:pPr>
        <w:widowControl/>
        <w:shd w:val="clear" w:color="auto" w:fill="FFFFFF"/>
        <w:spacing w:line="432" w:lineRule="atLeast"/>
        <w:jc w:val="center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87D46">
        <w:rPr>
          <w:rFonts w:ascii="方正仿宋_GBK" w:eastAsia="方正仿宋_GBK" w:hAnsi="宋体" w:cs="宋体" w:hint="eastAsia"/>
          <w:b/>
          <w:bCs/>
          <w:color w:val="000000"/>
          <w:kern w:val="0"/>
          <w:sz w:val="44"/>
          <w:szCs w:val="44"/>
        </w:rPr>
        <w:t>关于勐海县文化体育广播电视和旅游局</w:t>
      </w:r>
    </w:p>
    <w:p w:rsidR="00687D46" w:rsidRPr="00687D46" w:rsidRDefault="00687D46" w:rsidP="00687D46">
      <w:pPr>
        <w:widowControl/>
        <w:shd w:val="clear" w:color="auto" w:fill="FFFFFF"/>
        <w:spacing w:line="432" w:lineRule="atLeast"/>
        <w:jc w:val="center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方正仿宋_GBK" w:eastAsia="方正仿宋_GBK" w:hAnsi="宋体" w:cs="宋体" w:hint="eastAsia"/>
          <w:b/>
          <w:bCs/>
          <w:color w:val="000000"/>
          <w:kern w:val="0"/>
          <w:sz w:val="44"/>
          <w:szCs w:val="44"/>
        </w:rPr>
        <w:t>2017年部门预算编制的说明</w:t>
      </w:r>
    </w:p>
    <w:p w:rsidR="00687D46" w:rsidRPr="00687D46" w:rsidRDefault="00687D46" w:rsidP="00687D46">
      <w:pPr>
        <w:widowControl/>
        <w:shd w:val="clear" w:color="auto" w:fill="FFFFFF"/>
        <w:spacing w:line="500" w:lineRule="atLeast"/>
        <w:jc w:val="center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方正仿宋_GBK" w:eastAsia="方正仿宋_GBK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29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按照预算管理的相关规定，目前部门预算的编制实行全口径预算管理，即收入和支出全部纳入预算管理，全部收入和支出都反映在预算中。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left="1350" w:hanging="72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一、</w:t>
      </w:r>
      <w:r w:rsidRPr="00687D46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</w:t>
      </w:r>
      <w:r w:rsidRPr="00687D46">
        <w:rPr>
          <w:rFonts w:ascii="Times New Roman" w:eastAsia="仿宋_GB2312" w:hAnsi="Times New Roman" w:cs="Times New Roman"/>
          <w:color w:val="000000"/>
          <w:kern w:val="0"/>
          <w:sz w:val="14"/>
        </w:rPr>
        <w:t> 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基本职能概述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4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95700" cy="2314575"/>
            <wp:effectExtent l="19050" t="0" r="0" b="0"/>
            <wp:wrapSquare wrapText="bothSides"/>
            <wp:docPr id="3" name="图片 2" descr="http://mhwgj.ynmh.gov.cn/uploadfile/document_20170302/2017032811341014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hwgj.ynmh.gov.cn/uploadfile/document_20170302/20170328113410149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贯彻执行党和国家文化艺术、体育工作、广播电视工作、旅游工作和新闻出版、著作权、文物管理的方针、政策和法律、法规。研究制定全县文化艺术事业、体育发展事业、广播电视发展事业、旅游发展事业和新闻出版业发展战略，编制文化事业、体育事业、广播电视事业、旅游事业和新闻出版业中长期发展规划和年度计划，并组织实施，推进文化艺术领域、体育公共服务领域、广播电影电视公共服务领域、旅游监督管理服务领域和新闻出版领域的体制机制改革。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left="1350" w:hanging="72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二、</w:t>
      </w:r>
      <w:r w:rsidRPr="00687D46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</w:t>
      </w:r>
      <w:r w:rsidRPr="00687D46">
        <w:rPr>
          <w:rFonts w:ascii="Times New Roman" w:eastAsia="仿宋_GB2312" w:hAnsi="Times New Roman" w:cs="Times New Roman"/>
          <w:color w:val="000000"/>
          <w:kern w:val="0"/>
          <w:sz w:val="14"/>
        </w:rPr>
        <w:t> 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2017年主要工作目标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0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我县文化体育、广播电视和旅游工作基本工作思路是：在党的十八届五中、六中全会精神的指引下，认真贯彻执行党和国家的文化、体育、广播电视和旅游工作方针及政策，紧紧围绕“二为”方向、“双百”方针以及“三贴近”、“三创新”原则，抢抓机遇，求真务实，与时俱进，以建设“民族文化名州”、“旅游强州”为己任，在继续强化队伍建设的基础上，进一步抓好群众文化和民族文化、群众体育和竞技体育、文化旅游市场和文化旅游产业、广播电视和农村电影放映的管理与发展，同时，努力做到三个结合，即文体、广电、旅游工作与人民群众小康建设相结合，与县委、县政府各个时期、各个阶段中心工作相结合，与全国性民族民间文化保护工程相结合。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left="1350" w:hanging="72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三、</w:t>
      </w:r>
      <w:r w:rsidRPr="00687D46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</w:t>
      </w:r>
      <w:r w:rsidRPr="00687D46">
        <w:rPr>
          <w:rFonts w:ascii="Times New Roman" w:eastAsia="仿宋_GB2312" w:hAnsi="Times New Roman" w:cs="Times New Roman"/>
          <w:color w:val="000000"/>
          <w:kern w:val="0"/>
          <w:sz w:val="14"/>
        </w:rPr>
        <w:t> 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部门基本情况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0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纳入勐海县文化体育广播电视和旅游局2017年度部门预算编报的单位共8个。其中：行政单位1个，参照公务员法管理的事业单位1个，其他事业单位6个。分别是：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0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1.勐海县文化体育广播电视和旅游局；2.勐海县文化旅游综合行政执法大队；3.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勐海县文化馆；4.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勐海县民族文化工作队；5.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勐海县图书馆；6.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勐海县广播电视台；7.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勐海县业余少体校；8.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勐海县农村电影放映管理站。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部门在职人员编制84人，其中：行政编制6人，事业编制76人，后勤服务编制2人。在职实有88人，其中：财政全供养</w:t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88人。离退休人员32人，其中：离休1人，退休31人。车辆编制1辆，实有车辆1辆。</w:t>
      </w:r>
    </w:p>
    <w:p w:rsidR="00687D46" w:rsidRPr="00687D46" w:rsidRDefault="00687D46" w:rsidP="00687D46">
      <w:pPr>
        <w:widowControl/>
        <w:shd w:val="clear" w:color="auto" w:fill="FFFFFF"/>
        <w:spacing w:line="520" w:lineRule="atLeast"/>
        <w:ind w:firstLine="480"/>
        <w:jc w:val="center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单位人员构成情况表</w:t>
      </w:r>
    </w:p>
    <w:tbl>
      <w:tblPr>
        <w:tblW w:w="8742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"/>
        <w:gridCol w:w="739"/>
        <w:gridCol w:w="739"/>
        <w:gridCol w:w="740"/>
        <w:gridCol w:w="759"/>
        <w:gridCol w:w="759"/>
        <w:gridCol w:w="759"/>
        <w:gridCol w:w="761"/>
        <w:gridCol w:w="759"/>
        <w:gridCol w:w="759"/>
        <w:gridCol w:w="1229"/>
      </w:tblGrid>
      <w:tr w:rsidR="00687D46" w:rsidRPr="00687D46" w:rsidTr="00687D46">
        <w:trPr>
          <w:trHeight w:val="588"/>
        </w:trPr>
        <w:tc>
          <w:tcPr>
            <w:tcW w:w="2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编制情况</w:t>
            </w:r>
          </w:p>
        </w:tc>
        <w:tc>
          <w:tcPr>
            <w:tcW w:w="30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实有人员情况</w:t>
            </w: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其它补助人员实有情况</w:t>
            </w:r>
          </w:p>
        </w:tc>
      </w:tr>
      <w:tr w:rsidR="00687D46" w:rsidRPr="00687D46" w:rsidTr="00687D46">
        <w:trPr>
          <w:trHeight w:val="58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工勤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离休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退休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遗属人员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其它各类补助人员</w:t>
            </w:r>
          </w:p>
        </w:tc>
      </w:tr>
      <w:tr w:rsidR="00687D46" w:rsidRPr="00687D46" w:rsidTr="00687D46">
        <w:trPr>
          <w:trHeight w:val="58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 xml:space="preserve">84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 xml:space="preserve">76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 xml:space="preserve">88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 xml:space="preserve">31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 xml:space="preserve">27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 xml:space="preserve">26　</w:t>
            </w:r>
          </w:p>
        </w:tc>
      </w:tr>
    </w:tbl>
    <w:p w:rsidR="00687D46" w:rsidRPr="00687D46" w:rsidRDefault="00687D46" w:rsidP="00687D46">
      <w:pPr>
        <w:widowControl/>
        <w:shd w:val="clear" w:color="auto" w:fill="FFFFFF"/>
        <w:spacing w:line="540" w:lineRule="atLeas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四、2017年部门预算收支情况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4514850" cy="3086100"/>
            <wp:effectExtent l="0" t="0" r="0" b="0"/>
            <wp:docPr id="1" name="图片 1" descr="http://mhwgj.ynmh.gov.cn/uploadfile/document_20170302/20170328113410419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hwgj.ynmh.gov.cn/uploadfile/document_20170302/20170328113410419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2017年部门预算支出1566.83万元，比上年减少69.17万元，下降4.23%。其中：基本支出1452.03万元，比上年增加320.03万元，增长28.27%；项目支出114.8万元，比上年减少389.2万元，下降77.22%。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0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1、按功能科目</w:t>
      </w:r>
      <w:proofErr w:type="gramStart"/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细化到项级</w:t>
      </w:r>
      <w:proofErr w:type="gramEnd"/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为：2070101一般行政运行166.39万元、2070102一般行政管理事务2万元、2070109群众文化445.39万元、2070204文物保护6.8万元、2070308群众体育24.85万元、2070404广播231.08万元、2070406电影23.51万元、2080502事业单位离退休65.3万元、2080504未归口管理的行政单位离退休29.18万元、2101101行政单位医疗18.82万元、2101102事业单位医疗60.41万元、2101103公务员医疗补助47.34万元、2210201住房公积金90.22万元、2080304财政对工伤保险基金的补助1.98万元、2080305财政对生育保险基金的补助2.96万元、2080505养老保险134.15万元、2080506职业年金53.66万元、2160504旅游宣传100万元、2160599其他旅游业管理与服务支出62.79万元。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2、按经济科目分为：</w:t>
      </w:r>
    </w:p>
    <w:tbl>
      <w:tblPr>
        <w:tblW w:w="7280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1440"/>
        <w:gridCol w:w="1759"/>
        <w:gridCol w:w="1919"/>
        <w:gridCol w:w="2162"/>
      </w:tblGrid>
      <w:tr w:rsidR="00687D46" w:rsidRPr="00687D46" w:rsidTr="00687D46">
        <w:trPr>
          <w:trHeight w:val="463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预算支出数</w:t>
            </w:r>
          </w:p>
        </w:tc>
        <w:tc>
          <w:tcPr>
            <w:tcW w:w="5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经济科目</w:t>
            </w:r>
          </w:p>
        </w:tc>
      </w:tr>
      <w:tr w:rsidR="00687D46" w:rsidRPr="00687D46" w:rsidTr="00687D46">
        <w:trPr>
          <w:trHeight w:val="596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对个人和家庭补助</w:t>
            </w:r>
          </w:p>
        </w:tc>
      </w:tr>
      <w:tr w:rsidR="00687D46" w:rsidRPr="00687D46" w:rsidTr="00687D46">
        <w:trPr>
          <w:trHeight w:val="426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1567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D46" w:rsidRPr="00687D46" w:rsidRDefault="00687D46" w:rsidP="00687D46">
            <w:pPr>
              <w:widowControl/>
              <w:spacing w:line="432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32"/>
                <w:szCs w:val="32"/>
              </w:rPr>
            </w:pPr>
            <w:r w:rsidRPr="00687D46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</w:tr>
    </w:tbl>
    <w:p w:rsidR="00687D46" w:rsidRPr="00687D46" w:rsidRDefault="00687D46" w:rsidP="00687D46">
      <w:pPr>
        <w:widowControl/>
        <w:shd w:val="clear" w:color="auto" w:fill="FFFFFF"/>
        <w:spacing w:line="540" w:lineRule="atLeas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3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五、预算收支变动情况原因说明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45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1、基本支出变动的主要原因：工资正常晋升变动、人员变动、公务交通补贴、养老保险、职业年金等较上年增加320.03万元，增长28.27%。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0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687D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、项目支出变动的主要原因：主要是今年比上年减少民族体育工程贷款利息504万元，增加旅游宣传经费和旅游市场综合整治专项经费100万元、农村电影放映补助6万元、非物质文化遗产保护经费和县级非遗传承人补助经费6.8万元、文化体育广播电视工作经费和图书馆购书经费2万元。</w:t>
      </w:r>
    </w:p>
    <w:p w:rsidR="00687D46" w:rsidRPr="00687D46" w:rsidRDefault="00687D46" w:rsidP="00687D46">
      <w:pPr>
        <w:widowControl/>
        <w:shd w:val="clear" w:color="auto" w:fill="FFFFFF"/>
        <w:spacing w:line="540" w:lineRule="atLeast"/>
        <w:ind w:firstLine="640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4495800" cy="3048000"/>
            <wp:effectExtent l="0" t="0" r="0" b="0"/>
            <wp:docPr id="2" name="图片 2" descr="http://mhwgj.ynmh.gov.cn/uploadfile/document_20170302/20170328113411956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hwgj.ynmh.gov.cn/uploadfile/document_20170302/20170328113411956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40" w:rsidRPr="00687D46" w:rsidRDefault="00B93540" w:rsidP="00687D46">
      <w:pPr>
        <w:rPr>
          <w:szCs w:val="32"/>
        </w:rPr>
      </w:pPr>
    </w:p>
    <w:sectPr w:rsidR="00B93540" w:rsidRPr="00687D46" w:rsidSect="00F35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44" w:rsidRDefault="00143544" w:rsidP="00594D9B">
      <w:r>
        <w:separator/>
      </w:r>
    </w:p>
  </w:endnote>
  <w:endnote w:type="continuationSeparator" w:id="0">
    <w:p w:rsidR="00143544" w:rsidRDefault="00143544" w:rsidP="0059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44" w:rsidRDefault="00143544" w:rsidP="00594D9B">
      <w:r>
        <w:separator/>
      </w:r>
    </w:p>
  </w:footnote>
  <w:footnote w:type="continuationSeparator" w:id="0">
    <w:p w:rsidR="00143544" w:rsidRDefault="00143544" w:rsidP="0059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9B" w:rsidRDefault="00594D9B" w:rsidP="00B66F9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9E" w:rsidRDefault="00B66F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D9B"/>
    <w:rsid w:val="0002736F"/>
    <w:rsid w:val="000438F1"/>
    <w:rsid w:val="00045BFC"/>
    <w:rsid w:val="00096D32"/>
    <w:rsid w:val="000C459A"/>
    <w:rsid w:val="00100A97"/>
    <w:rsid w:val="00102A9F"/>
    <w:rsid w:val="00116E48"/>
    <w:rsid w:val="00121B85"/>
    <w:rsid w:val="00137007"/>
    <w:rsid w:val="00143544"/>
    <w:rsid w:val="00173607"/>
    <w:rsid w:val="00175F49"/>
    <w:rsid w:val="00186CBF"/>
    <w:rsid w:val="00194A3A"/>
    <w:rsid w:val="001B1D01"/>
    <w:rsid w:val="001C1668"/>
    <w:rsid w:val="001E4CA4"/>
    <w:rsid w:val="001F6742"/>
    <w:rsid w:val="00236C20"/>
    <w:rsid w:val="00250554"/>
    <w:rsid w:val="00262CDC"/>
    <w:rsid w:val="002C04AB"/>
    <w:rsid w:val="002F1359"/>
    <w:rsid w:val="003302E9"/>
    <w:rsid w:val="00351144"/>
    <w:rsid w:val="0036238C"/>
    <w:rsid w:val="00370307"/>
    <w:rsid w:val="003802FA"/>
    <w:rsid w:val="00385882"/>
    <w:rsid w:val="003C37E6"/>
    <w:rsid w:val="003C6A32"/>
    <w:rsid w:val="003E7024"/>
    <w:rsid w:val="00434C37"/>
    <w:rsid w:val="004525EB"/>
    <w:rsid w:val="00471C49"/>
    <w:rsid w:val="00480095"/>
    <w:rsid w:val="0049058F"/>
    <w:rsid w:val="004A7D74"/>
    <w:rsid w:val="004C0596"/>
    <w:rsid w:val="004C7443"/>
    <w:rsid w:val="004C7852"/>
    <w:rsid w:val="004D613E"/>
    <w:rsid w:val="004E2B30"/>
    <w:rsid w:val="005015F3"/>
    <w:rsid w:val="00533404"/>
    <w:rsid w:val="00583958"/>
    <w:rsid w:val="00594D9B"/>
    <w:rsid w:val="0059500E"/>
    <w:rsid w:val="005B2BF9"/>
    <w:rsid w:val="005C1C0B"/>
    <w:rsid w:val="005D7789"/>
    <w:rsid w:val="005E5121"/>
    <w:rsid w:val="00601C68"/>
    <w:rsid w:val="00612E8A"/>
    <w:rsid w:val="00615C01"/>
    <w:rsid w:val="00634C50"/>
    <w:rsid w:val="00637760"/>
    <w:rsid w:val="00687D46"/>
    <w:rsid w:val="006A28F2"/>
    <w:rsid w:val="006E2431"/>
    <w:rsid w:val="006E60CD"/>
    <w:rsid w:val="006F0DCD"/>
    <w:rsid w:val="0071026A"/>
    <w:rsid w:val="007231E7"/>
    <w:rsid w:val="00755AF4"/>
    <w:rsid w:val="007716CA"/>
    <w:rsid w:val="007731B0"/>
    <w:rsid w:val="00780225"/>
    <w:rsid w:val="00790C83"/>
    <w:rsid w:val="007A12F8"/>
    <w:rsid w:val="00800E88"/>
    <w:rsid w:val="00803080"/>
    <w:rsid w:val="0087260E"/>
    <w:rsid w:val="00885FB6"/>
    <w:rsid w:val="00890130"/>
    <w:rsid w:val="00917B53"/>
    <w:rsid w:val="00940BF1"/>
    <w:rsid w:val="00970C01"/>
    <w:rsid w:val="00A16480"/>
    <w:rsid w:val="00A747CA"/>
    <w:rsid w:val="00A81E6E"/>
    <w:rsid w:val="00AA200D"/>
    <w:rsid w:val="00AB0CBF"/>
    <w:rsid w:val="00AB3660"/>
    <w:rsid w:val="00AF13AB"/>
    <w:rsid w:val="00AF4110"/>
    <w:rsid w:val="00B302FF"/>
    <w:rsid w:val="00B44A9B"/>
    <w:rsid w:val="00B47CFC"/>
    <w:rsid w:val="00B53B0C"/>
    <w:rsid w:val="00B65E29"/>
    <w:rsid w:val="00B66F9E"/>
    <w:rsid w:val="00B82E31"/>
    <w:rsid w:val="00B93540"/>
    <w:rsid w:val="00BA3DD1"/>
    <w:rsid w:val="00BA75AA"/>
    <w:rsid w:val="00BB09B5"/>
    <w:rsid w:val="00C142F0"/>
    <w:rsid w:val="00C20635"/>
    <w:rsid w:val="00C3246D"/>
    <w:rsid w:val="00C35F2E"/>
    <w:rsid w:val="00C64C7E"/>
    <w:rsid w:val="00C97BE3"/>
    <w:rsid w:val="00CE01E6"/>
    <w:rsid w:val="00CE5D66"/>
    <w:rsid w:val="00D23B08"/>
    <w:rsid w:val="00D35623"/>
    <w:rsid w:val="00D35F2E"/>
    <w:rsid w:val="00D75375"/>
    <w:rsid w:val="00D90F05"/>
    <w:rsid w:val="00DC320B"/>
    <w:rsid w:val="00DC728E"/>
    <w:rsid w:val="00DD0626"/>
    <w:rsid w:val="00DD56BB"/>
    <w:rsid w:val="00E147DF"/>
    <w:rsid w:val="00E66872"/>
    <w:rsid w:val="00EE0BB1"/>
    <w:rsid w:val="00EE42AC"/>
    <w:rsid w:val="00EF2B7F"/>
    <w:rsid w:val="00F00728"/>
    <w:rsid w:val="00F11255"/>
    <w:rsid w:val="00F1503D"/>
    <w:rsid w:val="00F33C64"/>
    <w:rsid w:val="00F358F6"/>
    <w:rsid w:val="00F4431F"/>
    <w:rsid w:val="00F62D11"/>
    <w:rsid w:val="00F71BA6"/>
    <w:rsid w:val="00F87A0C"/>
    <w:rsid w:val="00FD5A7C"/>
    <w:rsid w:val="00FE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D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6F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66F9E"/>
  </w:style>
  <w:style w:type="paragraph" w:styleId="a6">
    <w:name w:val="Balloon Text"/>
    <w:basedOn w:val="a"/>
    <w:link w:val="Char1"/>
    <w:uiPriority w:val="99"/>
    <w:semiHidden/>
    <w:unhideWhenUsed/>
    <w:rsid w:val="00687D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7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2017-10-17T00:38:00Z</cp:lastPrinted>
  <dcterms:created xsi:type="dcterms:W3CDTF">2017-11-03T07:10:00Z</dcterms:created>
  <dcterms:modified xsi:type="dcterms:W3CDTF">2017-11-03T07:10:00Z</dcterms:modified>
</cp:coreProperties>
</file>