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仿宋" w:hAnsi="仿宋" w:eastAsia="仿宋" w:cs="仿宋"/>
          <w:sz w:val="32"/>
          <w:szCs w:val="32"/>
        </w:rPr>
      </w:pPr>
      <w:r>
        <w:rPr>
          <w:rFonts w:hint="eastAsia" w:ascii="仿宋" w:hAnsi="仿宋" w:eastAsia="仿宋" w:cs="仿宋"/>
          <w:sz w:val="32"/>
          <w:szCs w:val="32"/>
        </w:rPr>
        <w:t>县十五届人大二次会议</w:t>
      </w:r>
    </w:p>
    <w:p>
      <w:pPr>
        <w:spacing w:line="360" w:lineRule="exact"/>
        <w:rPr>
          <w:rFonts w:hint="eastAsia" w:ascii="仿宋" w:hAnsi="仿宋" w:eastAsia="仿宋" w:cs="仿宋"/>
          <w:color w:val="FF0000"/>
          <w:sz w:val="32"/>
          <w:szCs w:val="32"/>
        </w:rPr>
      </w:pPr>
      <w:r>
        <w:rPr>
          <w:rFonts w:hint="eastAsia" w:ascii="仿宋" w:hAnsi="仿宋" w:eastAsia="仿宋" w:cs="仿宋"/>
          <w:sz w:val="32"/>
          <w:szCs w:val="32"/>
        </w:rPr>
        <w:t xml:space="preserve">材料之二十七附件 </w:t>
      </w:r>
    </w:p>
    <w:p>
      <w:pPr>
        <w:spacing w:line="640" w:lineRule="exact"/>
        <w:jc w:val="center"/>
        <w:rPr>
          <w:rFonts w:ascii="Times New Roman" w:hAnsi="Times New Roman" w:eastAsia="方正仿宋_GBK"/>
          <w:color w:val="000000"/>
          <w:sz w:val="32"/>
          <w:szCs w:val="32"/>
        </w:rPr>
      </w:pPr>
    </w:p>
    <w:p>
      <w:pPr>
        <w:spacing w:line="600" w:lineRule="exact"/>
        <w:jc w:val="center"/>
        <w:rPr>
          <w:rFonts w:hint="eastAsia" w:ascii="仿宋" w:hAnsi="仿宋" w:eastAsia="仿宋" w:cs="仿宋"/>
          <w:b/>
          <w:bCs/>
          <w:color w:val="000000"/>
          <w:sz w:val="40"/>
          <w:szCs w:val="40"/>
        </w:rPr>
      </w:pPr>
      <w:r>
        <w:rPr>
          <w:rFonts w:hint="eastAsia" w:ascii="仿宋" w:hAnsi="仿宋" w:eastAsia="仿宋" w:cs="仿宋"/>
          <w:b/>
          <w:bCs/>
          <w:color w:val="000000"/>
          <w:sz w:val="40"/>
          <w:szCs w:val="40"/>
        </w:rPr>
        <w:t>关于勐海县2017年地方财政预算执行情况和</w:t>
      </w:r>
    </w:p>
    <w:p>
      <w:pPr>
        <w:spacing w:line="600" w:lineRule="exact"/>
        <w:jc w:val="center"/>
        <w:rPr>
          <w:rFonts w:hint="eastAsia" w:ascii="仿宋" w:hAnsi="仿宋" w:eastAsia="仿宋" w:cs="仿宋"/>
          <w:b/>
          <w:bCs/>
          <w:color w:val="000000"/>
          <w:sz w:val="40"/>
          <w:szCs w:val="40"/>
        </w:rPr>
      </w:pPr>
      <w:r>
        <w:rPr>
          <w:rFonts w:hint="eastAsia" w:ascii="仿宋" w:hAnsi="仿宋" w:eastAsia="仿宋" w:cs="仿宋"/>
          <w:b/>
          <w:bCs/>
          <w:color w:val="000000"/>
          <w:sz w:val="40"/>
          <w:szCs w:val="40"/>
        </w:rPr>
        <w:t>2018年地方财政预算草案的报告（书面）</w:t>
      </w:r>
    </w:p>
    <w:p>
      <w:pPr>
        <w:spacing w:line="600" w:lineRule="exact"/>
        <w:rPr>
          <w:rFonts w:ascii="Times New Roman" w:hAnsi="Times New Roman" w:eastAsia="方正仿宋_GBK"/>
          <w:color w:val="000000"/>
          <w:sz w:val="32"/>
          <w:szCs w:val="32"/>
        </w:rPr>
      </w:pPr>
    </w:p>
    <w:p>
      <w:pPr>
        <w:spacing w:line="600" w:lineRule="exact"/>
        <w:jc w:val="center"/>
        <w:rPr>
          <w:rFonts w:hint="eastAsia" w:ascii="仿宋" w:hAnsi="仿宋" w:eastAsia="仿宋" w:cs="仿宋"/>
          <w:color w:val="000000"/>
          <w:w w:val="96"/>
          <w:sz w:val="32"/>
          <w:szCs w:val="32"/>
        </w:rPr>
      </w:pPr>
      <w:r>
        <w:rPr>
          <w:rFonts w:hint="eastAsia" w:ascii="仿宋" w:hAnsi="仿宋" w:eastAsia="仿宋" w:cs="仿宋"/>
          <w:b/>
          <w:color w:val="000000"/>
          <w:w w:val="96"/>
          <w:sz w:val="32"/>
          <w:szCs w:val="32"/>
        </w:rPr>
        <w:t>——</w:t>
      </w:r>
      <w:r>
        <w:rPr>
          <w:rFonts w:hint="eastAsia" w:ascii="仿宋" w:hAnsi="仿宋" w:eastAsia="仿宋" w:cs="仿宋"/>
          <w:color w:val="000000"/>
          <w:w w:val="96"/>
          <w:sz w:val="32"/>
          <w:szCs w:val="32"/>
        </w:rPr>
        <w:t>2018年2月8日在县第十五届人民代表大会第二次会议上</w:t>
      </w:r>
    </w:p>
    <w:p>
      <w:pPr>
        <w:tabs>
          <w:tab w:val="center" w:pos="4564"/>
          <w:tab w:val="left" w:pos="5875"/>
        </w:tabs>
        <w:spacing w:line="60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勐海县财政局</w:t>
      </w:r>
    </w:p>
    <w:p>
      <w:pPr>
        <w:spacing w:line="560" w:lineRule="exact"/>
        <w:rPr>
          <w:rFonts w:ascii="Times New Roman" w:hAnsi="Times New Roman" w:eastAsia="方正仿宋_GBK"/>
          <w:sz w:val="32"/>
          <w:szCs w:val="32"/>
        </w:rPr>
      </w:pPr>
    </w:p>
    <w:p>
      <w:pPr>
        <w:spacing w:line="540" w:lineRule="exact"/>
        <w:rPr>
          <w:rFonts w:hint="eastAsia" w:ascii="仿宋" w:hAnsi="仿宋" w:eastAsia="仿宋" w:cs="仿宋"/>
          <w:sz w:val="32"/>
          <w:szCs w:val="32"/>
        </w:rPr>
      </w:pPr>
      <w:r>
        <w:rPr>
          <w:rFonts w:hint="eastAsia" w:ascii="仿宋" w:hAnsi="仿宋" w:eastAsia="仿宋" w:cs="仿宋"/>
          <w:sz w:val="32"/>
          <w:szCs w:val="32"/>
        </w:rPr>
        <w:t>各位代表：</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受县人民政府委托，向大会报告勐海县2017年地方财政预算执行情况和2018年地方财政预算（草案），请予审查，并请各位政协委员和列席人员提出意见。</w:t>
      </w:r>
    </w:p>
    <w:p>
      <w:pPr>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一、2017年地方财政预算执行情况</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2017年，在县委的坚强领导下，在县人大及其常委会的监督支持下，</w:t>
      </w:r>
      <w:r>
        <w:rPr>
          <w:rFonts w:hint="eastAsia" w:ascii="仿宋" w:hAnsi="仿宋" w:eastAsia="仿宋" w:cs="仿宋"/>
          <w:color w:val="000000"/>
          <w:sz w:val="32"/>
          <w:szCs w:val="32"/>
        </w:rPr>
        <w:t>按照县委县政府确定的总体工作目标，</w:t>
      </w:r>
      <w:r>
        <w:rPr>
          <w:rFonts w:hint="eastAsia" w:ascii="仿宋" w:hAnsi="仿宋" w:eastAsia="仿宋" w:cs="仿宋"/>
          <w:sz w:val="32"/>
          <w:szCs w:val="32"/>
        </w:rPr>
        <w:t>紧紧围绕脱贫攻坚、义务教育均衡发展、重大项目建设等重点工作，</w:t>
      </w:r>
      <w:r>
        <w:rPr>
          <w:rFonts w:hint="eastAsia" w:ascii="仿宋" w:hAnsi="仿宋" w:eastAsia="仿宋" w:cs="仿宋"/>
          <w:color w:val="000000"/>
          <w:sz w:val="32"/>
          <w:szCs w:val="32"/>
        </w:rPr>
        <w:t>全力组织收入，严格预算执行，强化财政监督，推进财税改革，</w:t>
      </w:r>
      <w:r>
        <w:rPr>
          <w:rFonts w:hint="eastAsia" w:ascii="仿宋" w:hAnsi="仿宋" w:eastAsia="仿宋" w:cs="仿宋"/>
          <w:w w:val="96"/>
          <w:sz w:val="32"/>
          <w:szCs w:val="32"/>
        </w:rPr>
        <w:t>圆满完成了县十五届人大一次会议确定的目标任务，</w:t>
      </w:r>
      <w:r>
        <w:rPr>
          <w:rFonts w:hint="eastAsia" w:ascii="仿宋" w:hAnsi="仿宋" w:eastAsia="仿宋" w:cs="仿宋"/>
          <w:color w:val="000000"/>
          <w:sz w:val="32"/>
          <w:szCs w:val="32"/>
        </w:rPr>
        <w:t>财政预算执行情况总体良好。</w:t>
      </w:r>
    </w:p>
    <w:p>
      <w:pPr>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（一）一般公共预算执行情况</w:t>
      </w:r>
    </w:p>
    <w:p>
      <w:pPr>
        <w:widowControl/>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rPr>
        <w:t>2017年，全县财政总收入完成83123万元，同比增收5323万元，增长6.8%。其中：上划中央两税及所得税等25325万元(其中：增值税14504万元、企业所得税8098万元、个人所得税2690万元)，同比增收3705万元，增长17.1％；上划省级所得税等5707万元（其中：企业所得税3223万元，个人所得税1076万元），同比增收173万元，增长3.1</w:t>
      </w:r>
      <w:r>
        <w:rPr>
          <w:rFonts w:hint="eastAsia" w:ascii="仿宋" w:hAnsi="仿宋" w:eastAsia="仿宋" w:cs="仿宋"/>
          <w:color w:val="000000"/>
          <w:w w:val="98"/>
          <w:kern w:val="0"/>
          <w:sz w:val="32"/>
          <w:szCs w:val="32"/>
        </w:rPr>
        <w:t>％；上划州级收入2568万元，同比减收486万元，下降15.9</w:t>
      </w:r>
      <w:r>
        <w:rPr>
          <w:rFonts w:hint="eastAsia" w:ascii="仿宋" w:hAnsi="仿宋" w:eastAsia="仿宋" w:cs="仿宋"/>
          <w:color w:val="000000"/>
          <w:kern w:val="0"/>
          <w:sz w:val="32"/>
          <w:szCs w:val="32"/>
        </w:rPr>
        <w:t>%。</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地方一般公共预算收入完成49523万元，同比增收2014万元，增长4.2%，完成预算数49500万元的100%。</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地方一般公共预算支出完成299265万元，同比增支28135万元，增长10.4%，完成调整预算数297800万元的100.5%。</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地方一般公共预算平衡情况：地方一般公共预算收入49523万元，返还性收入5531万元，一般性转移支付收入110832万元，专项转移支付收入76055万元，地方政府债务转贷收入61930万元，动用预算稳定调节基金2073万元，调入资金2354万元，以上收入合计308298万元。地方一般公共预算支出299265万元，债务还本支出4930万元，上解上级支出3470万元，补充预算稳定调节基金633万元，以上支出合计308298万元。收支平衡。</w:t>
      </w:r>
    </w:p>
    <w:p>
      <w:pPr>
        <w:ind w:leftChars="-67" w:hanging="140" w:hangingChars="44"/>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718810" cy="3230880"/>
            <wp:effectExtent l="19050" t="0" r="15240" b="76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524500" cy="32385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（二）政府性基金预算执行情况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2017年，政府性基金预算收入完成18652万元，同比增收8065万元，增长76.2%，完成调整预算数18000万元的103.6%。</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政府性基金预算支出完成19137万元，同比增支8369万元，增长77.7%，完成调整预算数20700万元的92.4%。</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政府性基金平衡情况：政府性基金预算收入18652万元，政府性基金转移支付收入2345万元，上年结余87万元，以上收入合计21084万元。政府性基金预算支出19137万元，调出资金782万元，以上支出合计19919万元。政府性基金收支结余1165万元。</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（三）国有资本经营预算执行情况</w:t>
      </w:r>
    </w:p>
    <w:p>
      <w:pPr>
        <w:tabs>
          <w:tab w:val="left" w:pos="770"/>
        </w:tabs>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2017年，国有资本经营预算收入完成41万元,国有资本经营预算支出完成32万元，调出资金9万元。收支平衡。</w:t>
      </w:r>
    </w:p>
    <w:p>
      <w:pPr>
        <w:tabs>
          <w:tab w:val="left" w:pos="770"/>
        </w:tabs>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（四）社会保险基金预算执行情况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2017年，社会保险基金收入完成111205万元，社会保险基金支出完成110392万元。收支结余813万元。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以上各项数字均为快报数，待州财政局正式批复决算后，再将有关变动情况向县人大常委会报告。</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（五）主要工作情况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1.抓财源强管理，提高保障能力。</w:t>
      </w:r>
      <w:r>
        <w:rPr>
          <w:rFonts w:hint="eastAsia" w:ascii="仿宋" w:hAnsi="仿宋" w:eastAsia="仿宋" w:cs="仿宋"/>
          <w:b/>
          <w:bCs/>
          <w:sz w:val="32"/>
          <w:szCs w:val="32"/>
        </w:rPr>
        <w:t>一是</w:t>
      </w:r>
      <w:r>
        <w:rPr>
          <w:rFonts w:hint="eastAsia" w:ascii="仿宋" w:hAnsi="仿宋" w:eastAsia="仿宋" w:cs="仿宋"/>
          <w:sz w:val="32"/>
          <w:szCs w:val="32"/>
        </w:rPr>
        <w:t>积极培植财源。安排工业园区基础设施建设和征地补偿资金</w:t>
      </w:r>
      <w:r>
        <w:rPr>
          <w:rFonts w:hint="eastAsia" w:ascii="仿宋" w:hAnsi="仿宋" w:eastAsia="仿宋" w:cs="仿宋"/>
          <w:color w:val="0D0D0D"/>
          <w:sz w:val="32"/>
          <w:szCs w:val="32"/>
        </w:rPr>
        <w:t>6227万元，</w:t>
      </w:r>
      <w:r>
        <w:rPr>
          <w:rFonts w:hint="eastAsia" w:ascii="仿宋" w:hAnsi="仿宋" w:eastAsia="仿宋" w:cs="仿宋"/>
          <w:color w:val="000000"/>
          <w:sz w:val="32"/>
          <w:szCs w:val="32"/>
        </w:rPr>
        <w:t>支持</w:t>
      </w:r>
      <w:r>
        <w:rPr>
          <w:rFonts w:hint="eastAsia" w:ascii="仿宋" w:hAnsi="仿宋" w:eastAsia="仿宋" w:cs="仿宋"/>
          <w:sz w:val="32"/>
          <w:szCs w:val="32"/>
        </w:rPr>
        <w:t>工业园区提升服务功能，</w:t>
      </w:r>
      <w:r>
        <w:rPr>
          <w:rFonts w:hint="eastAsia" w:ascii="仿宋" w:hAnsi="仿宋" w:eastAsia="仿宋" w:cs="仿宋"/>
          <w:color w:val="000000"/>
          <w:sz w:val="32"/>
          <w:szCs w:val="32"/>
        </w:rPr>
        <w:t>为园区引进企业创造了条件</w:t>
      </w:r>
      <w:r>
        <w:rPr>
          <w:rFonts w:hint="eastAsia" w:ascii="仿宋" w:hAnsi="仿宋" w:eastAsia="仿宋" w:cs="仿宋"/>
          <w:sz w:val="32"/>
          <w:szCs w:val="32"/>
        </w:rPr>
        <w:t>。安排企业发展专项资金共计2874</w:t>
      </w:r>
      <w:r>
        <w:rPr>
          <w:rFonts w:hint="eastAsia" w:ascii="仿宋" w:hAnsi="仿宋" w:eastAsia="仿宋" w:cs="仿宋"/>
          <w:color w:val="000000"/>
          <w:sz w:val="32"/>
          <w:szCs w:val="32"/>
        </w:rPr>
        <w:t>万元，受益企业48户，重点支持企业转型升级、技改、研发和古茶园现代产业建设等。</w:t>
      </w:r>
      <w:r>
        <w:rPr>
          <w:rFonts w:hint="eastAsia" w:ascii="仿宋" w:hAnsi="仿宋" w:eastAsia="仿宋" w:cs="仿宋"/>
          <w:sz w:val="32"/>
          <w:szCs w:val="32"/>
        </w:rPr>
        <w:t>安排“两个10万”微型企业培育工程资金150万元，支持微型企业获得贷款共计2600万元，受益微型企业50户。</w:t>
      </w:r>
      <w:r>
        <w:rPr>
          <w:rFonts w:hint="eastAsia" w:ascii="仿宋" w:hAnsi="仿宋" w:eastAsia="仿宋" w:cs="仿宋"/>
          <w:color w:val="000000"/>
          <w:sz w:val="32"/>
          <w:szCs w:val="32"/>
        </w:rPr>
        <w:t>安排</w:t>
      </w:r>
      <w:r>
        <w:rPr>
          <w:rFonts w:hint="eastAsia" w:ascii="仿宋" w:hAnsi="仿宋" w:eastAsia="仿宋" w:cs="仿宋"/>
          <w:sz w:val="32"/>
          <w:szCs w:val="32"/>
        </w:rPr>
        <w:t>普洱茶品牌宣</w:t>
      </w:r>
      <w:r>
        <w:rPr>
          <w:rFonts w:hint="eastAsia" w:ascii="仿宋" w:hAnsi="仿宋" w:eastAsia="仿宋" w:cs="仿宋"/>
          <w:color w:val="0D0D0D"/>
          <w:sz w:val="32"/>
          <w:szCs w:val="32"/>
        </w:rPr>
        <w:t>传资金494万元</w:t>
      </w:r>
      <w:r>
        <w:rPr>
          <w:rFonts w:hint="eastAsia" w:ascii="仿宋" w:hAnsi="仿宋" w:eastAsia="仿宋" w:cs="仿宋"/>
          <w:color w:val="000000"/>
          <w:sz w:val="32"/>
          <w:szCs w:val="32"/>
        </w:rPr>
        <w:t>，支持</w:t>
      </w:r>
      <w:r>
        <w:rPr>
          <w:rFonts w:hint="eastAsia" w:ascii="仿宋" w:hAnsi="仿宋" w:eastAsia="仿宋" w:cs="仿宋"/>
          <w:sz w:val="32"/>
          <w:szCs w:val="32"/>
        </w:rPr>
        <w:t>普洱茶品</w:t>
      </w:r>
      <w:bookmarkStart w:id="0" w:name="_GoBack"/>
      <w:bookmarkEnd w:id="0"/>
      <w:r>
        <w:rPr>
          <w:rFonts w:hint="eastAsia" w:ascii="仿宋" w:hAnsi="仿宋" w:eastAsia="仿宋" w:cs="仿宋"/>
          <w:sz w:val="32"/>
          <w:szCs w:val="32"/>
        </w:rPr>
        <w:t>牌打造和宣传。有效落实“营改增”、促进小微企业发展、西部大开发及减免行政事业性收费等结构性减税降费政策，全年减税降费共计36147万元。</w:t>
      </w:r>
      <w:r>
        <w:rPr>
          <w:rFonts w:hint="eastAsia" w:ascii="仿宋" w:hAnsi="仿宋" w:eastAsia="仿宋" w:cs="仿宋"/>
          <w:b/>
          <w:sz w:val="32"/>
          <w:szCs w:val="32"/>
        </w:rPr>
        <w:t>二是</w:t>
      </w:r>
      <w:r>
        <w:rPr>
          <w:rFonts w:hint="eastAsia" w:ascii="仿宋" w:hAnsi="仿宋" w:eastAsia="仿宋" w:cs="仿宋"/>
          <w:sz w:val="32"/>
          <w:szCs w:val="32"/>
        </w:rPr>
        <w:t>加强收入征管。强化征收责任，县政府与部门签订了目标责任书，对财政收入完成情况进行督办，</w:t>
      </w:r>
      <w:r>
        <w:rPr>
          <w:rFonts w:hint="eastAsia" w:ascii="仿宋" w:hAnsi="仿宋" w:eastAsia="仿宋" w:cs="仿宋"/>
          <w:color w:val="000000"/>
          <w:sz w:val="32"/>
          <w:szCs w:val="32"/>
        </w:rPr>
        <w:t>及时组织召开税收共治相关</w:t>
      </w:r>
      <w:r>
        <w:rPr>
          <w:rFonts w:hint="eastAsia" w:ascii="仿宋" w:hAnsi="仿宋" w:eastAsia="仿宋" w:cs="仿宋"/>
          <w:sz w:val="32"/>
          <w:szCs w:val="32"/>
        </w:rPr>
        <w:t>工作会，督促部门切实履行协税护税职责，确保建筑业税收最大限度留在县内。积极推进资源税改革，制定印发了工作方案，组织开展了业务培训，搭建了征管平台。加强非税收入征管，清缴历年坝区耕地质量补偿费和防空地下室易地建设费共计</w:t>
      </w:r>
      <w:r>
        <w:rPr>
          <w:rFonts w:hint="eastAsia" w:ascii="仿宋" w:hAnsi="仿宋" w:eastAsia="仿宋" w:cs="仿宋"/>
          <w:color w:val="000000"/>
          <w:sz w:val="32"/>
          <w:szCs w:val="32"/>
        </w:rPr>
        <w:t>5201</w:t>
      </w:r>
      <w:r>
        <w:rPr>
          <w:rFonts w:hint="eastAsia" w:ascii="仿宋" w:hAnsi="仿宋" w:eastAsia="仿宋" w:cs="仿宋"/>
          <w:sz w:val="32"/>
          <w:szCs w:val="32"/>
        </w:rPr>
        <w:t>万元，清缴历年土地出让收入4397万元。保障执法部门经费，确保罚没收入等非税收入应收尽收。</w:t>
      </w:r>
      <w:r>
        <w:rPr>
          <w:rFonts w:hint="eastAsia" w:ascii="仿宋" w:hAnsi="仿宋" w:eastAsia="仿宋" w:cs="仿宋"/>
          <w:b/>
          <w:color w:val="000000"/>
          <w:sz w:val="32"/>
          <w:szCs w:val="32"/>
        </w:rPr>
        <w:t>三是</w:t>
      </w:r>
      <w:r>
        <w:rPr>
          <w:rFonts w:hint="eastAsia" w:ascii="仿宋" w:hAnsi="仿宋" w:eastAsia="仿宋" w:cs="仿宋"/>
          <w:color w:val="000000"/>
          <w:sz w:val="32"/>
          <w:szCs w:val="32"/>
        </w:rPr>
        <w:t>全力争取上级支持。</w:t>
      </w:r>
      <w:r>
        <w:rPr>
          <w:rFonts w:hint="eastAsia" w:ascii="仿宋" w:hAnsi="仿宋" w:eastAsia="仿宋" w:cs="仿宋"/>
          <w:sz w:val="32"/>
          <w:szCs w:val="32"/>
        </w:rPr>
        <w:t>2017年财政部门向上级财政争取专项资金</w:t>
      </w:r>
      <w:r>
        <w:rPr>
          <w:rFonts w:hint="eastAsia" w:ascii="仿宋" w:hAnsi="仿宋" w:eastAsia="仿宋" w:cs="仿宋"/>
          <w:color w:val="000000"/>
          <w:sz w:val="32"/>
          <w:szCs w:val="32"/>
        </w:rPr>
        <w:t>共计16568万元，</w:t>
      </w:r>
      <w:r>
        <w:rPr>
          <w:rFonts w:hint="eastAsia" w:ascii="仿宋" w:hAnsi="仿宋" w:eastAsia="仿宋" w:cs="仿宋"/>
          <w:sz w:val="32"/>
          <w:szCs w:val="32"/>
        </w:rPr>
        <w:t>其中：边境地区转移支付项目资金12079万元，</w:t>
      </w:r>
      <w:r>
        <w:rPr>
          <w:rFonts w:hint="eastAsia" w:ascii="仿宋" w:hAnsi="仿宋" w:eastAsia="仿宋" w:cs="仿宋"/>
          <w:color w:val="000000"/>
          <w:sz w:val="32"/>
          <w:szCs w:val="32"/>
        </w:rPr>
        <w:t>农业综合开发项目</w:t>
      </w:r>
      <w:r>
        <w:rPr>
          <w:rFonts w:hint="eastAsia" w:ascii="仿宋" w:hAnsi="仿宋" w:eastAsia="仿宋" w:cs="仿宋"/>
          <w:sz w:val="32"/>
          <w:szCs w:val="32"/>
        </w:rPr>
        <w:t>资金</w:t>
      </w:r>
      <w:r>
        <w:rPr>
          <w:rFonts w:hint="eastAsia" w:ascii="仿宋" w:hAnsi="仿宋" w:eastAsia="仿宋" w:cs="仿宋"/>
          <w:color w:val="000000"/>
          <w:sz w:val="32"/>
          <w:szCs w:val="32"/>
        </w:rPr>
        <w:t>1537万元，农村综合改革财政奖补资金2952万元</w:t>
      </w:r>
      <w:r>
        <w:rPr>
          <w:rFonts w:hint="eastAsia" w:ascii="仿宋" w:hAnsi="仿宋" w:eastAsia="仿宋" w:cs="仿宋"/>
          <w:sz w:val="32"/>
          <w:szCs w:val="32"/>
        </w:rPr>
        <w:t>。同时，积极协调各部门高质量储备项目，争取省级债券转贷资金支持，2017年我县共获得省级债券转贷资金61930</w:t>
      </w:r>
      <w:r>
        <w:rPr>
          <w:rFonts w:hint="eastAsia" w:ascii="仿宋" w:hAnsi="仿宋" w:eastAsia="仿宋" w:cs="仿宋"/>
          <w:color w:val="000000"/>
          <w:sz w:val="32"/>
          <w:szCs w:val="32"/>
        </w:rPr>
        <w:t>万元</w:t>
      </w:r>
      <w:r>
        <w:rPr>
          <w:rFonts w:hint="eastAsia" w:ascii="仿宋" w:hAnsi="仿宋" w:eastAsia="仿宋" w:cs="仿宋"/>
          <w:sz w:val="32"/>
          <w:szCs w:val="32"/>
        </w:rPr>
        <w:t>。</w:t>
      </w:r>
      <w:r>
        <w:rPr>
          <w:rFonts w:hint="eastAsia" w:ascii="仿宋" w:hAnsi="仿宋" w:eastAsia="仿宋" w:cs="仿宋"/>
          <w:b/>
          <w:sz w:val="32"/>
          <w:szCs w:val="32"/>
        </w:rPr>
        <w:t>四是</w:t>
      </w:r>
      <w:r>
        <w:rPr>
          <w:rFonts w:hint="eastAsia" w:ascii="仿宋" w:hAnsi="仿宋" w:eastAsia="仿宋" w:cs="仿宋"/>
          <w:sz w:val="32"/>
          <w:szCs w:val="32"/>
        </w:rPr>
        <w:t>积极盘活财政存量资金。在对部门资金进行清理盘活基础上，首次对教育、社保、扶贫3个财政专户进行清理，全</w:t>
      </w:r>
      <w:r>
        <w:rPr>
          <w:rFonts w:hint="eastAsia" w:ascii="仿宋" w:hAnsi="仿宋" w:eastAsia="仿宋" w:cs="仿宋"/>
          <w:w w:val="96"/>
          <w:sz w:val="32"/>
          <w:szCs w:val="32"/>
        </w:rPr>
        <w:t>年清理盘活财</w:t>
      </w:r>
      <w:r>
        <w:rPr>
          <w:rFonts w:hint="eastAsia" w:ascii="仿宋" w:hAnsi="仿宋" w:eastAsia="仿宋" w:cs="仿宋"/>
          <w:color w:val="000000"/>
          <w:w w:val="96"/>
          <w:sz w:val="32"/>
          <w:szCs w:val="32"/>
        </w:rPr>
        <w:t>政存量资金20502万元，</w:t>
      </w:r>
      <w:r>
        <w:rPr>
          <w:rFonts w:hint="eastAsia" w:ascii="仿宋" w:hAnsi="仿宋" w:eastAsia="仿宋" w:cs="仿宋"/>
          <w:w w:val="96"/>
          <w:sz w:val="32"/>
          <w:szCs w:val="32"/>
        </w:rPr>
        <w:t>有效缓解了财政支出压</w:t>
      </w:r>
      <w:r>
        <w:rPr>
          <w:rFonts w:hint="eastAsia" w:ascii="仿宋" w:hAnsi="仿宋" w:eastAsia="仿宋" w:cs="仿宋"/>
          <w:sz w:val="32"/>
          <w:szCs w:val="32"/>
        </w:rPr>
        <w:t>力。</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2.优化支出结构，保民生补短板。</w:t>
      </w:r>
      <w:r>
        <w:rPr>
          <w:rFonts w:hint="eastAsia" w:ascii="仿宋" w:hAnsi="仿宋" w:eastAsia="仿宋" w:cs="仿宋"/>
          <w:color w:val="000000"/>
          <w:sz w:val="32"/>
          <w:szCs w:val="32"/>
        </w:rPr>
        <w:t>2017年财政用于民生支出23.93亿元，占地方一般公共预算支出的80%。</w:t>
      </w:r>
      <w:r>
        <w:rPr>
          <w:rFonts w:hint="eastAsia" w:ascii="仿宋" w:hAnsi="仿宋" w:eastAsia="仿宋" w:cs="仿宋"/>
          <w:b/>
          <w:color w:val="000000"/>
          <w:sz w:val="32"/>
          <w:szCs w:val="32"/>
        </w:rPr>
        <w:t>一是</w:t>
      </w:r>
      <w:r>
        <w:rPr>
          <w:rFonts w:hint="eastAsia" w:ascii="仿宋" w:hAnsi="仿宋" w:eastAsia="仿宋" w:cs="仿宋"/>
          <w:color w:val="000000"/>
          <w:sz w:val="32"/>
          <w:szCs w:val="32"/>
        </w:rPr>
        <w:t>加快公共教育均衡发展。全年教育支出53310万元，同比增长14.4%，高于财政经常性收入增长10个百分点。</w:t>
      </w:r>
      <w:r>
        <w:rPr>
          <w:rFonts w:hint="eastAsia" w:ascii="仿宋" w:hAnsi="仿宋" w:eastAsia="仿宋" w:cs="仿宋"/>
          <w:sz w:val="32"/>
          <w:szCs w:val="32"/>
        </w:rPr>
        <w:t>加快发展学前教育，建成行政村学前教育点133个，大幅提高了学前教育公用经费预算标准。推进义务教育均衡发展，</w:t>
      </w:r>
      <w:r>
        <w:rPr>
          <w:rFonts w:hint="eastAsia" w:ascii="仿宋" w:hAnsi="仿宋" w:eastAsia="仿宋" w:cs="仿宋"/>
          <w:color w:val="000000"/>
          <w:sz w:val="32"/>
          <w:szCs w:val="32"/>
        </w:rPr>
        <w:t>全面实施薄改项目，</w:t>
      </w:r>
      <w:r>
        <w:rPr>
          <w:rFonts w:hint="eastAsia" w:ascii="仿宋" w:hAnsi="仿宋" w:eastAsia="仿宋" w:cs="仿宋"/>
          <w:sz w:val="32"/>
          <w:szCs w:val="32"/>
        </w:rPr>
        <w:t>改善义务教育薄弱学校办学条件，加快城乡义务教育标准化建设，确保了义务教育均衡发展督导评估验收。加快发展高中教育，提高学生公用经费预算标准，支持县一中引进先进教学模式。支持补充教育编外辅助人员808名。</w:t>
      </w:r>
      <w:r>
        <w:rPr>
          <w:rFonts w:hint="eastAsia" w:ascii="仿宋" w:hAnsi="仿宋" w:eastAsia="仿宋" w:cs="仿宋"/>
          <w:b/>
          <w:color w:val="000000"/>
          <w:sz w:val="32"/>
          <w:szCs w:val="32"/>
        </w:rPr>
        <w:t>二是</w:t>
      </w:r>
      <w:r>
        <w:rPr>
          <w:rFonts w:hint="eastAsia" w:ascii="仿宋" w:hAnsi="仿宋" w:eastAsia="仿宋" w:cs="仿宋"/>
          <w:color w:val="000000"/>
          <w:sz w:val="32"/>
          <w:szCs w:val="32"/>
        </w:rPr>
        <w:t>全力支持脱贫攻坚</w:t>
      </w:r>
      <w:r>
        <w:rPr>
          <w:rFonts w:hint="eastAsia" w:ascii="仿宋" w:hAnsi="仿宋" w:eastAsia="仿宋" w:cs="仿宋"/>
          <w:b/>
          <w:color w:val="000000"/>
          <w:sz w:val="32"/>
          <w:szCs w:val="32"/>
        </w:rPr>
        <w:t>。</w:t>
      </w:r>
      <w:r>
        <w:rPr>
          <w:rFonts w:hint="eastAsia" w:ascii="仿宋" w:hAnsi="仿宋" w:eastAsia="仿宋" w:cs="仿宋"/>
          <w:color w:val="000000"/>
          <w:sz w:val="32"/>
          <w:szCs w:val="32"/>
        </w:rPr>
        <w:t>全年财政涉及扶贫投入96700</w:t>
      </w:r>
      <w:r>
        <w:rPr>
          <w:rFonts w:hint="eastAsia" w:ascii="仿宋" w:hAnsi="仿宋" w:eastAsia="仿宋" w:cs="仿宋"/>
          <w:color w:val="000000"/>
          <w:kern w:val="0"/>
          <w:sz w:val="32"/>
          <w:szCs w:val="32"/>
        </w:rPr>
        <w:t>万元，占地方一般公共预算支出的32%。</w:t>
      </w:r>
      <w:r>
        <w:rPr>
          <w:rFonts w:hint="eastAsia" w:ascii="仿宋" w:hAnsi="仿宋" w:eastAsia="仿宋" w:cs="仿宋"/>
          <w:sz w:val="32"/>
          <w:szCs w:val="32"/>
        </w:rPr>
        <w:t>统筹整合涉农资金24000万元，</w:t>
      </w:r>
      <w:r>
        <w:rPr>
          <w:rFonts w:hint="eastAsia" w:ascii="仿宋" w:hAnsi="仿宋" w:eastAsia="仿宋" w:cs="仿宋"/>
          <w:color w:val="000000"/>
          <w:sz w:val="32"/>
          <w:szCs w:val="32"/>
        </w:rPr>
        <w:t>重点</w:t>
      </w:r>
      <w:r>
        <w:rPr>
          <w:rFonts w:hint="eastAsia" w:ascii="仿宋" w:hAnsi="仿宋" w:eastAsia="仿宋" w:cs="仿宋"/>
          <w:color w:val="000000"/>
          <w:kern w:val="0"/>
          <w:sz w:val="32"/>
          <w:szCs w:val="32"/>
        </w:rPr>
        <w:t>用于</w:t>
      </w:r>
      <w:r>
        <w:rPr>
          <w:rFonts w:hint="eastAsia" w:ascii="仿宋" w:hAnsi="仿宋" w:eastAsia="仿宋" w:cs="仿宋"/>
          <w:color w:val="000000"/>
          <w:sz w:val="32"/>
          <w:szCs w:val="32"/>
        </w:rPr>
        <w:t>贫困村基础设施建设、易地扶贫搬迁</w:t>
      </w:r>
      <w:r>
        <w:rPr>
          <w:rFonts w:hint="eastAsia" w:ascii="仿宋" w:hAnsi="仿宋" w:eastAsia="仿宋" w:cs="仿宋"/>
          <w:sz w:val="32"/>
          <w:szCs w:val="32"/>
        </w:rPr>
        <w:t>等项目。从省级债券转贷资金中安排5000</w:t>
      </w:r>
      <w:r>
        <w:rPr>
          <w:rFonts w:hint="eastAsia" w:ascii="仿宋" w:hAnsi="仿宋" w:eastAsia="仿宋" w:cs="仿宋"/>
          <w:color w:val="000000"/>
          <w:sz w:val="32"/>
          <w:szCs w:val="32"/>
        </w:rPr>
        <w:t>万元，用于贫困村道路、饮水和危房改造项目。</w:t>
      </w:r>
      <w:r>
        <w:rPr>
          <w:rFonts w:hint="eastAsia" w:ascii="仿宋" w:hAnsi="仿宋" w:eastAsia="仿宋" w:cs="仿宋"/>
          <w:sz w:val="32"/>
          <w:szCs w:val="32"/>
        </w:rPr>
        <w:t>及时</w:t>
      </w:r>
      <w:r>
        <w:rPr>
          <w:rFonts w:hint="eastAsia" w:ascii="仿宋" w:hAnsi="仿宋" w:eastAsia="仿宋" w:cs="仿宋"/>
          <w:color w:val="000000"/>
          <w:sz w:val="32"/>
          <w:szCs w:val="32"/>
        </w:rPr>
        <w:t>落实粮食直补、农机购置补贴和农业保险等各项惠农补贴7490万元。</w:t>
      </w:r>
      <w:r>
        <w:rPr>
          <w:rFonts w:hint="eastAsia" w:ascii="仿宋" w:hAnsi="仿宋" w:eastAsia="仿宋" w:cs="仿宋"/>
          <w:b/>
          <w:sz w:val="32"/>
          <w:szCs w:val="32"/>
        </w:rPr>
        <w:t>三是</w:t>
      </w:r>
      <w:r>
        <w:rPr>
          <w:rFonts w:hint="eastAsia" w:ascii="仿宋" w:hAnsi="仿宋" w:eastAsia="仿宋" w:cs="仿宋"/>
          <w:bCs/>
          <w:color w:val="000000"/>
          <w:sz w:val="32"/>
          <w:szCs w:val="32"/>
        </w:rPr>
        <w:t>完善社会保障体系。</w:t>
      </w:r>
      <w:r>
        <w:rPr>
          <w:rFonts w:hint="eastAsia" w:ascii="仿宋" w:hAnsi="仿宋" w:eastAsia="仿宋" w:cs="仿宋"/>
          <w:color w:val="000000"/>
          <w:sz w:val="32"/>
          <w:szCs w:val="32"/>
        </w:rPr>
        <w:t>全年</w:t>
      </w:r>
      <w:r>
        <w:rPr>
          <w:rFonts w:hint="eastAsia" w:ascii="仿宋" w:hAnsi="仿宋" w:eastAsia="仿宋" w:cs="仿宋"/>
          <w:bCs/>
          <w:color w:val="000000"/>
          <w:sz w:val="32"/>
          <w:szCs w:val="32"/>
        </w:rPr>
        <w:t>社会保障事业支出54977</w:t>
      </w:r>
      <w:r>
        <w:rPr>
          <w:rFonts w:hint="eastAsia" w:ascii="仿宋" w:hAnsi="仿宋" w:eastAsia="仿宋" w:cs="仿宋"/>
          <w:color w:val="000000"/>
          <w:sz w:val="32"/>
          <w:szCs w:val="32"/>
        </w:rPr>
        <w:t>万元，同比增长32.6%，建成</w:t>
      </w:r>
      <w:r>
        <w:rPr>
          <w:rFonts w:hint="eastAsia" w:ascii="仿宋" w:hAnsi="仿宋" w:eastAsia="仿宋" w:cs="仿宋"/>
          <w:sz w:val="32"/>
          <w:szCs w:val="32"/>
        </w:rPr>
        <w:t>勐海县社会福利院综合楼，支持农村危房改造项目建设，及时兑付城乡居民最低生活保障，足额缴纳行政事业单位基本养老保险，将景海高速公路征地补偿金拨入专户管理。</w:t>
      </w:r>
      <w:r>
        <w:rPr>
          <w:rFonts w:hint="eastAsia" w:ascii="仿宋" w:hAnsi="仿宋" w:eastAsia="仿宋" w:cs="仿宋"/>
          <w:b/>
          <w:sz w:val="32"/>
          <w:szCs w:val="32"/>
        </w:rPr>
        <w:t>四是</w:t>
      </w:r>
      <w:r>
        <w:rPr>
          <w:rFonts w:hint="eastAsia" w:ascii="仿宋" w:hAnsi="仿宋" w:eastAsia="仿宋" w:cs="仿宋"/>
          <w:sz w:val="32"/>
          <w:szCs w:val="32"/>
        </w:rPr>
        <w:t>推进公共卫生体系建设。全年医疗卫生与计划生育支出42720</w:t>
      </w:r>
      <w:r>
        <w:rPr>
          <w:rFonts w:hint="eastAsia" w:ascii="仿宋" w:hAnsi="仿宋" w:eastAsia="仿宋" w:cs="仿宋"/>
          <w:color w:val="000000"/>
          <w:sz w:val="32"/>
          <w:szCs w:val="32"/>
        </w:rPr>
        <w:t>万元，同比增长24.2%。支持</w:t>
      </w:r>
      <w:r>
        <w:rPr>
          <w:rFonts w:hint="eastAsia" w:ascii="仿宋" w:hAnsi="仿宋" w:eastAsia="仿宋" w:cs="仿宋"/>
          <w:sz w:val="32"/>
          <w:szCs w:val="32"/>
        </w:rPr>
        <w:t>改善基层医疗条件，重点安排县医院、勐遮卫生院、疾控中心综合楼建设资金。支持全科医生为重点的基层医疗卫生队伍建设。有效落实健康扶贫30条措施，建档立卡贫困户人口100%参加基本医疗保险。支持医药卫生体制改革，在全县医疗系统全面实施药品零差价销售。</w:t>
      </w:r>
    </w:p>
    <w:p>
      <w:pPr>
        <w:tabs>
          <w:tab w:val="left" w:pos="312"/>
        </w:tabs>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3.推进财政改革，增强发展动力。</w:t>
      </w:r>
      <w:r>
        <w:rPr>
          <w:rFonts w:hint="eastAsia" w:ascii="仿宋" w:hAnsi="仿宋" w:eastAsia="仿宋" w:cs="仿宋"/>
          <w:b/>
          <w:sz w:val="32"/>
          <w:szCs w:val="32"/>
        </w:rPr>
        <w:t>一是</w:t>
      </w:r>
      <w:r>
        <w:rPr>
          <w:rFonts w:hint="eastAsia" w:ascii="仿宋" w:hAnsi="仿宋" w:eastAsia="仿宋" w:cs="仿宋"/>
          <w:sz w:val="32"/>
          <w:szCs w:val="32"/>
        </w:rPr>
        <w:t>积极推进预算编审体系改革。实行全口径预算管理，将一般公共预算、政府性基金预算、国有资本经营预算、社会保险基金预算全部纳入预算管理，政府的所有收入和支出纳入预算管理。</w:t>
      </w:r>
      <w:r>
        <w:rPr>
          <w:rFonts w:hint="eastAsia" w:ascii="仿宋" w:hAnsi="仿宋" w:eastAsia="仿宋" w:cs="仿宋"/>
          <w:kern w:val="0"/>
          <w:sz w:val="32"/>
          <w:szCs w:val="32"/>
        </w:rPr>
        <w:t>创新预算编审方法，突出部门预算绩效导向，</w:t>
      </w:r>
      <w:r>
        <w:rPr>
          <w:rFonts w:hint="eastAsia" w:ascii="仿宋" w:hAnsi="仿宋" w:eastAsia="仿宋" w:cs="仿宋"/>
          <w:sz w:val="32"/>
          <w:szCs w:val="32"/>
        </w:rPr>
        <w:t>编制上报了</w:t>
      </w:r>
      <w:r>
        <w:rPr>
          <w:rFonts w:hint="eastAsia" w:ascii="仿宋" w:hAnsi="仿宋" w:eastAsia="仿宋" w:cs="仿宋"/>
          <w:color w:val="000000"/>
          <w:sz w:val="32"/>
          <w:szCs w:val="32"/>
        </w:rPr>
        <w:t>2017-2019年中期财政规划</w:t>
      </w:r>
      <w:r>
        <w:rPr>
          <w:rFonts w:hint="eastAsia" w:ascii="仿宋" w:hAnsi="仿宋" w:eastAsia="仿宋" w:cs="仿宋"/>
          <w:sz w:val="32"/>
          <w:szCs w:val="32"/>
        </w:rPr>
        <w:t>，逐步建立跨年度部门预算支出项目库。改进预算编审程序，严格按照“一下、二上、三下、四调整、五批复”编制、审核和下达预算。</w:t>
      </w:r>
      <w:r>
        <w:rPr>
          <w:rFonts w:hint="eastAsia" w:ascii="仿宋" w:hAnsi="仿宋" w:eastAsia="仿宋" w:cs="仿宋"/>
          <w:b/>
          <w:sz w:val="32"/>
          <w:szCs w:val="32"/>
        </w:rPr>
        <w:t>二是</w:t>
      </w:r>
      <w:r>
        <w:rPr>
          <w:rFonts w:hint="eastAsia" w:ascii="仿宋" w:hAnsi="仿宋" w:eastAsia="仿宋" w:cs="仿宋"/>
          <w:sz w:val="32"/>
          <w:szCs w:val="32"/>
        </w:rPr>
        <w:t>积极推进专项转移支付管理改革。</w:t>
      </w:r>
      <w:r>
        <w:rPr>
          <w:rFonts w:hint="eastAsia" w:ascii="仿宋" w:hAnsi="仿宋" w:eastAsia="仿宋" w:cs="仿宋"/>
          <w:color w:val="000000"/>
          <w:sz w:val="32"/>
          <w:szCs w:val="32"/>
        </w:rPr>
        <w:t>制定印发了《关于深入推进省对下专项转移支付资金管理改革的实施方案》</w:t>
      </w:r>
      <w:r>
        <w:rPr>
          <w:rFonts w:hint="eastAsia" w:ascii="仿宋" w:hAnsi="仿宋" w:eastAsia="仿宋" w:cs="仿宋"/>
          <w:sz w:val="32"/>
          <w:szCs w:val="32"/>
        </w:rPr>
        <w:t>，建立了上级专项资金申报项目库。</w:t>
      </w:r>
      <w:r>
        <w:rPr>
          <w:rFonts w:hint="eastAsia" w:ascii="仿宋" w:hAnsi="仿宋" w:eastAsia="仿宋" w:cs="仿宋"/>
          <w:b/>
          <w:color w:val="000000"/>
          <w:sz w:val="32"/>
          <w:szCs w:val="32"/>
        </w:rPr>
        <w:t>三是</w:t>
      </w:r>
      <w:r>
        <w:rPr>
          <w:rFonts w:hint="eastAsia" w:ascii="仿宋" w:hAnsi="仿宋" w:eastAsia="仿宋" w:cs="仿宋"/>
          <w:color w:val="000000"/>
          <w:sz w:val="32"/>
          <w:szCs w:val="32"/>
        </w:rPr>
        <w:t>深化国有企业管理改革。</w:t>
      </w:r>
      <w:r>
        <w:rPr>
          <w:rFonts w:hint="eastAsia" w:ascii="仿宋" w:hAnsi="仿宋" w:eastAsia="仿宋" w:cs="仿宋"/>
          <w:sz w:val="32"/>
          <w:szCs w:val="32"/>
        </w:rPr>
        <w:t>推进县级经营性国有资产集中统一监管，制定印发了《勐海县推进县级经营性国有资产集中统一监管的实施方案》。推进国有企业用人制度改革，制定印发了《勐海县县属国有企业市场化选聘高级管理人员实施办法（试行）》。</w:t>
      </w:r>
      <w:r>
        <w:rPr>
          <w:rFonts w:hint="eastAsia" w:ascii="仿宋" w:hAnsi="仿宋" w:eastAsia="仿宋" w:cs="仿宋"/>
          <w:color w:val="000000"/>
          <w:sz w:val="32"/>
          <w:szCs w:val="32"/>
        </w:rPr>
        <w:t>支持县城投公司整合国有企业股权和资产，成功参与州级平台发行私募债券，筹集私募债券资金1.78亿元</w:t>
      </w:r>
      <w:r>
        <w:rPr>
          <w:rFonts w:hint="eastAsia" w:ascii="仿宋" w:hAnsi="仿宋" w:eastAsia="仿宋" w:cs="仿宋"/>
          <w:sz w:val="32"/>
          <w:szCs w:val="32"/>
        </w:rPr>
        <w:t>。支持县城投公司参股</w:t>
      </w:r>
      <w:r>
        <w:rPr>
          <w:rFonts w:hint="eastAsia" w:ascii="仿宋" w:hAnsi="仿宋" w:eastAsia="仿宋" w:cs="仿宋"/>
          <w:color w:val="000000"/>
          <w:sz w:val="32"/>
          <w:szCs w:val="32"/>
        </w:rPr>
        <w:t>西双版纳志天配售电有限责任公司</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4.强化财政监督，严格依法理财。</w:t>
      </w:r>
      <w:r>
        <w:rPr>
          <w:rFonts w:hint="eastAsia" w:ascii="仿宋" w:hAnsi="仿宋" w:eastAsia="仿宋" w:cs="仿宋"/>
          <w:b/>
          <w:color w:val="000000"/>
          <w:sz w:val="32"/>
          <w:szCs w:val="32"/>
        </w:rPr>
        <w:t>一是</w:t>
      </w:r>
      <w:r>
        <w:rPr>
          <w:rFonts w:hint="eastAsia" w:ascii="仿宋" w:hAnsi="仿宋" w:eastAsia="仿宋" w:cs="仿宋"/>
          <w:bCs/>
          <w:color w:val="000000"/>
          <w:sz w:val="32"/>
          <w:szCs w:val="32"/>
        </w:rPr>
        <w:t>加强政府债务监管。严格执行政府债务限额管理，新增政府性债务报经县人大常委会审查批准。</w:t>
      </w:r>
      <w:r>
        <w:rPr>
          <w:rFonts w:hint="eastAsia" w:ascii="仿宋" w:hAnsi="仿宋" w:eastAsia="仿宋" w:cs="仿宋"/>
          <w:color w:val="000000"/>
          <w:sz w:val="32"/>
          <w:szCs w:val="32"/>
        </w:rPr>
        <w:t>认真组织学习财政部50号、87号文件，</w:t>
      </w:r>
      <w:r>
        <w:rPr>
          <w:rFonts w:hint="eastAsia" w:ascii="仿宋" w:hAnsi="仿宋" w:eastAsia="仿宋" w:cs="仿宋"/>
          <w:bCs/>
          <w:color w:val="000000"/>
          <w:sz w:val="32"/>
          <w:szCs w:val="32"/>
        </w:rPr>
        <w:t>全面清理整改政府隐性债务，</w:t>
      </w:r>
      <w:r>
        <w:rPr>
          <w:rFonts w:hint="eastAsia" w:ascii="仿宋" w:hAnsi="仿宋" w:eastAsia="仿宋" w:cs="仿宋"/>
          <w:color w:val="000000"/>
          <w:sz w:val="32"/>
          <w:szCs w:val="32"/>
        </w:rPr>
        <w:t>规范政府购买服务行为和PPP项目财政管理，</w:t>
      </w:r>
      <w:r>
        <w:rPr>
          <w:rFonts w:hint="eastAsia" w:ascii="仿宋" w:hAnsi="仿宋" w:eastAsia="仿宋" w:cs="仿宋"/>
          <w:bCs/>
          <w:color w:val="000000"/>
          <w:sz w:val="32"/>
          <w:szCs w:val="32"/>
        </w:rPr>
        <w:t>及时筹措资金偿还政府债务8769</w:t>
      </w:r>
      <w:r>
        <w:rPr>
          <w:rFonts w:hint="eastAsia" w:ascii="仿宋" w:hAnsi="仿宋" w:eastAsia="仿宋" w:cs="仿宋"/>
          <w:color w:val="000000"/>
          <w:sz w:val="32"/>
          <w:szCs w:val="32"/>
        </w:rPr>
        <w:t>万元，有效防范债务风险。</w:t>
      </w:r>
      <w:r>
        <w:rPr>
          <w:rFonts w:hint="eastAsia" w:ascii="仿宋" w:hAnsi="仿宋" w:eastAsia="仿宋" w:cs="仿宋"/>
          <w:b/>
          <w:bCs/>
          <w:sz w:val="32"/>
          <w:szCs w:val="32"/>
        </w:rPr>
        <w:t>二是</w:t>
      </w:r>
      <w:r>
        <w:rPr>
          <w:rFonts w:hint="eastAsia" w:ascii="仿宋" w:hAnsi="仿宋" w:eastAsia="仿宋" w:cs="仿宋"/>
          <w:bCs/>
          <w:sz w:val="32"/>
          <w:szCs w:val="32"/>
        </w:rPr>
        <w:t>继续推进</w:t>
      </w:r>
      <w:r>
        <w:rPr>
          <w:rFonts w:hint="eastAsia" w:ascii="仿宋" w:hAnsi="仿宋" w:eastAsia="仿宋" w:cs="仿宋"/>
          <w:sz w:val="32"/>
          <w:szCs w:val="32"/>
        </w:rPr>
        <w:t>预决算信息公开。通过政府门户网站及时公开了财政预算和决算，督促全县62个部门129个预算单位及时公开了部门预算、决算和“三公”经费预算，积极配合财政部驻云南省专员办对预决算公开的核查。</w:t>
      </w:r>
      <w:r>
        <w:rPr>
          <w:rFonts w:hint="eastAsia" w:ascii="仿宋" w:hAnsi="仿宋" w:eastAsia="仿宋" w:cs="仿宋"/>
          <w:b/>
          <w:color w:val="000000"/>
          <w:sz w:val="32"/>
          <w:szCs w:val="32"/>
        </w:rPr>
        <w:t>三是</w:t>
      </w:r>
      <w:r>
        <w:rPr>
          <w:rFonts w:hint="eastAsia" w:ascii="仿宋" w:hAnsi="仿宋" w:eastAsia="仿宋" w:cs="仿宋"/>
          <w:color w:val="000000"/>
          <w:sz w:val="32"/>
          <w:szCs w:val="32"/>
        </w:rPr>
        <w:t>规范</w:t>
      </w:r>
      <w:r>
        <w:rPr>
          <w:rFonts w:hint="eastAsia" w:ascii="仿宋" w:hAnsi="仿宋" w:eastAsia="仿宋" w:cs="仿宋"/>
          <w:sz w:val="32"/>
          <w:szCs w:val="32"/>
        </w:rPr>
        <w:t>政府采购行为</w:t>
      </w:r>
      <w:r>
        <w:rPr>
          <w:rFonts w:hint="eastAsia" w:ascii="仿宋" w:hAnsi="仿宋" w:eastAsia="仿宋" w:cs="仿宋"/>
          <w:color w:val="000000"/>
          <w:sz w:val="32"/>
          <w:szCs w:val="32"/>
        </w:rPr>
        <w:t>。严格控制资产采购规模和配置标准，及时纠正部分单位超标采购行为，妥善处理政府采购投诉事件，2017年全年申请政府采购项目共883项，节约资金205万元，节约率1.9%。</w:t>
      </w:r>
      <w:r>
        <w:rPr>
          <w:rFonts w:hint="eastAsia" w:ascii="仿宋" w:hAnsi="仿宋" w:eastAsia="仿宋" w:cs="仿宋"/>
          <w:b/>
          <w:color w:val="000000"/>
          <w:sz w:val="32"/>
          <w:szCs w:val="32"/>
        </w:rPr>
        <w:t>四是</w:t>
      </w:r>
      <w:r>
        <w:rPr>
          <w:rFonts w:hint="eastAsia" w:ascii="仿宋" w:hAnsi="仿宋" w:eastAsia="仿宋" w:cs="仿宋"/>
          <w:color w:val="000000"/>
          <w:sz w:val="32"/>
          <w:szCs w:val="32"/>
        </w:rPr>
        <w:t>强化财政资金监督。</w:t>
      </w:r>
      <w:r>
        <w:rPr>
          <w:rFonts w:hint="eastAsia" w:ascii="仿宋" w:hAnsi="仿宋" w:eastAsia="仿宋" w:cs="仿宋"/>
          <w:sz w:val="32"/>
          <w:szCs w:val="32"/>
        </w:rPr>
        <w:t>组织开展了行政事业单位执行财经纪律业务培训和</w:t>
      </w:r>
      <w:r>
        <w:rPr>
          <w:rFonts w:hint="eastAsia" w:ascii="仿宋" w:hAnsi="仿宋" w:eastAsia="仿宋" w:cs="仿宋"/>
          <w:bCs/>
          <w:sz w:val="32"/>
          <w:szCs w:val="32"/>
        </w:rPr>
        <w:t>执行财经纪律专项检查。组织开展了扶贫资金专项检查，</w:t>
      </w:r>
      <w:r>
        <w:rPr>
          <w:rFonts w:hint="eastAsia" w:ascii="仿宋" w:hAnsi="仿宋" w:eastAsia="仿宋" w:cs="仿宋"/>
          <w:sz w:val="32"/>
          <w:szCs w:val="32"/>
        </w:rPr>
        <w:t>对全县11个乡镇和12个部门扶贫专项资金进行了检查。积极参与县扶贫开发领导小组、县纪委、县巡查办开展的脱贫攻坚、“小金库”、“四风”等检查和巡查</w:t>
      </w:r>
      <w:r>
        <w:rPr>
          <w:rFonts w:hint="eastAsia" w:ascii="仿宋" w:hAnsi="仿宋" w:eastAsia="仿宋" w:cs="仿宋"/>
          <w:color w:val="000000"/>
          <w:kern w:val="0"/>
          <w:sz w:val="32"/>
          <w:szCs w:val="32"/>
        </w:rPr>
        <w:t>。</w:t>
      </w:r>
      <w:r>
        <w:rPr>
          <w:rFonts w:hint="eastAsia" w:ascii="仿宋" w:hAnsi="仿宋" w:eastAsia="仿宋" w:cs="仿宋"/>
          <w:b/>
          <w:color w:val="000000"/>
          <w:kern w:val="0"/>
          <w:sz w:val="32"/>
          <w:szCs w:val="32"/>
        </w:rPr>
        <w:t>五是</w:t>
      </w:r>
      <w:r>
        <w:rPr>
          <w:rFonts w:hint="eastAsia" w:ascii="仿宋" w:hAnsi="仿宋" w:eastAsia="仿宋" w:cs="仿宋"/>
          <w:color w:val="000000"/>
          <w:kern w:val="0"/>
          <w:sz w:val="32"/>
          <w:szCs w:val="32"/>
        </w:rPr>
        <w:t>强化财政资金绩效管理。</w:t>
      </w:r>
      <w:r>
        <w:rPr>
          <w:rFonts w:hint="eastAsia" w:ascii="仿宋" w:hAnsi="仿宋" w:eastAsia="仿宋" w:cs="仿宋"/>
          <w:sz w:val="32"/>
          <w:szCs w:val="32"/>
        </w:rPr>
        <w:t>制定印发了《勐海县部门财政支出绩效自评暂行办法》，组织开展了财政支出绩效跟踪，对33个预算单位的134个项目进行绩效跟踪。引入第三方中介机构对财政扶贫资金等9个重点项目开展绩效评价。</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在总结成绩的同时，我们也要清醒地看到财政预算执行和财政工作中存在的困难和问题，主要表现在：</w:t>
      </w:r>
      <w:r>
        <w:rPr>
          <w:rFonts w:hint="eastAsia" w:ascii="仿宋" w:hAnsi="仿宋" w:eastAsia="仿宋" w:cs="仿宋"/>
          <w:b/>
          <w:color w:val="000000"/>
          <w:sz w:val="32"/>
          <w:szCs w:val="32"/>
        </w:rPr>
        <w:t>一是</w:t>
      </w:r>
      <w:r>
        <w:rPr>
          <w:rFonts w:hint="eastAsia" w:ascii="仿宋" w:hAnsi="仿宋" w:eastAsia="仿宋" w:cs="仿宋"/>
          <w:color w:val="000000"/>
          <w:sz w:val="32"/>
          <w:szCs w:val="32"/>
        </w:rPr>
        <w:t>税源结构单一，税收基础薄弱，财政持续增收能力不足。</w:t>
      </w:r>
      <w:r>
        <w:rPr>
          <w:rFonts w:hint="eastAsia" w:ascii="仿宋" w:hAnsi="仿宋" w:eastAsia="仿宋" w:cs="仿宋"/>
          <w:b/>
          <w:color w:val="000000"/>
          <w:sz w:val="32"/>
          <w:szCs w:val="32"/>
        </w:rPr>
        <w:t>二是</w:t>
      </w:r>
      <w:r>
        <w:rPr>
          <w:rFonts w:hint="eastAsia" w:ascii="仿宋" w:hAnsi="仿宋" w:eastAsia="仿宋" w:cs="仿宋"/>
          <w:color w:val="000000"/>
          <w:sz w:val="32"/>
          <w:szCs w:val="32"/>
        </w:rPr>
        <w:t>营改增、提高小微企业税收起征点、降低或取消部分行政事业性收费等结构性减税降费对财政收入影响逐步显现</w:t>
      </w:r>
      <w:r>
        <w:rPr>
          <w:rFonts w:hint="eastAsia" w:ascii="仿宋" w:hAnsi="仿宋" w:eastAsia="仿宋" w:cs="仿宋"/>
          <w:b/>
          <w:color w:val="000000"/>
          <w:sz w:val="32"/>
          <w:szCs w:val="32"/>
        </w:rPr>
        <w:t>。三是</w:t>
      </w:r>
      <w:r>
        <w:rPr>
          <w:rFonts w:hint="eastAsia" w:ascii="仿宋" w:hAnsi="仿宋" w:eastAsia="仿宋" w:cs="仿宋"/>
          <w:color w:val="000000"/>
          <w:sz w:val="32"/>
          <w:szCs w:val="32"/>
        </w:rPr>
        <w:t>刚性支出增长较快，脱贫攻坚、城乡基础设施建设资金需求规模大，不可预见支出较多，财政收支矛盾异常突出。</w:t>
      </w:r>
      <w:r>
        <w:rPr>
          <w:rFonts w:hint="eastAsia" w:ascii="仿宋" w:hAnsi="仿宋" w:eastAsia="仿宋" w:cs="仿宋"/>
          <w:b/>
          <w:color w:val="000000"/>
          <w:sz w:val="32"/>
          <w:szCs w:val="32"/>
        </w:rPr>
        <w:t>四是</w:t>
      </w:r>
      <w:r>
        <w:rPr>
          <w:rFonts w:hint="eastAsia" w:ascii="仿宋" w:hAnsi="仿宋" w:eastAsia="仿宋" w:cs="仿宋"/>
          <w:color w:val="000000"/>
          <w:sz w:val="32"/>
          <w:szCs w:val="32"/>
        </w:rPr>
        <w:t>财政资金绩效不高，违规使用财政资金问题时有发生。这些问题，我们将高度重视，采取有力措施，积极</w:t>
      </w:r>
      <w:r>
        <w:rPr>
          <w:rFonts w:hint="eastAsia" w:ascii="仿宋" w:hAnsi="仿宋" w:eastAsia="仿宋" w:cs="仿宋"/>
          <w:sz w:val="32"/>
          <w:szCs w:val="32"/>
        </w:rPr>
        <w:t>培植财源，强化征收管理和</w:t>
      </w:r>
      <w:r>
        <w:rPr>
          <w:rFonts w:hint="eastAsia" w:ascii="仿宋" w:hAnsi="仿宋" w:eastAsia="仿宋" w:cs="仿宋"/>
          <w:color w:val="000000"/>
          <w:sz w:val="32"/>
          <w:szCs w:val="32"/>
        </w:rPr>
        <w:t>财政监督，不断提高财政管理水平。</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二、2018年地方财政预算草案</w:t>
      </w:r>
    </w:p>
    <w:p>
      <w:pPr>
        <w:spacing w:line="560" w:lineRule="exact"/>
        <w:ind w:firstLine="627" w:firstLineChars="196"/>
        <w:jc w:val="left"/>
        <w:rPr>
          <w:rFonts w:hint="eastAsia" w:ascii="仿宋" w:hAnsi="仿宋" w:eastAsia="仿宋" w:cs="仿宋"/>
          <w:sz w:val="32"/>
          <w:szCs w:val="32"/>
        </w:rPr>
      </w:pPr>
      <w:r>
        <w:rPr>
          <w:rFonts w:hint="eastAsia" w:ascii="仿宋" w:hAnsi="仿宋" w:eastAsia="仿宋" w:cs="仿宋"/>
          <w:sz w:val="32"/>
          <w:szCs w:val="32"/>
        </w:rPr>
        <w:t>2018年财政工作和预算编制指导思想：深入贯彻党的十九大和中央经济工作会议精神，有效落实省委十届四次、州委八届四次、县委十二届六次全会部署，紧紧围绕“做大蛋糕、分好蛋糕、管好蛋糕”的思路，按照“编制要细、结构要优、执行要快、绩效要好、信息要明、改革要实”的要求，以全口径预算管理改革为主线，强化资金整合盘活，增强预算统筹能力，优先保工资、保运转、保基本民生；以深化零基预算改革为重点，集中财力全面落实县委、县政府确定的重大事项；以预算绩效管理改革为导向，调整财政支出结构，确保财政资金用在刀刃上；以编细编实预算为抓手，做好项目前期准备，加快预算执行进度；以创新财政投入方式为杠杆，优化财政资源配置，发挥财政资金乘数效应；以预算公开透明为落脚点，硬化预算约束，促进依法依规理财，促进全县经济健康发展、社会和谐稳定。</w:t>
      </w:r>
    </w:p>
    <w:p>
      <w:pPr>
        <w:numPr>
          <w:ilvl w:val="0"/>
          <w:numId w:val="1"/>
        </w:numPr>
        <w:spacing w:line="560" w:lineRule="exac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地方一般公共预算草案</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2018年地方一般公共预算收入建议数</w:t>
      </w:r>
      <w:r>
        <w:rPr>
          <w:rFonts w:hint="eastAsia" w:ascii="仿宋" w:hAnsi="仿宋" w:eastAsia="仿宋" w:cs="仿宋"/>
          <w:sz w:val="32"/>
          <w:szCs w:val="32"/>
        </w:rPr>
        <w:t>53000</w:t>
      </w:r>
      <w:r>
        <w:rPr>
          <w:rFonts w:hint="eastAsia" w:ascii="仿宋" w:hAnsi="仿宋" w:eastAsia="仿宋" w:cs="仿宋"/>
          <w:color w:val="000000"/>
          <w:sz w:val="32"/>
          <w:szCs w:val="32"/>
        </w:rPr>
        <w:t>万元，较上年增长7%。地方一般公共预算支出建议安排273920万元，同口径较上年增长13%。</w:t>
      </w:r>
    </w:p>
    <w:p>
      <w:pPr>
        <w:widowControl/>
        <w:shd w:val="clear" w:color="auto" w:fill="FFFFFF"/>
        <w:spacing w:line="600" w:lineRule="exact"/>
        <w:ind w:firstLine="640"/>
        <w:jc w:val="left"/>
        <w:rPr>
          <w:rFonts w:hint="eastAsia" w:ascii="仿宋" w:hAnsi="仿宋" w:eastAsia="仿宋" w:cs="仿宋"/>
          <w:sz w:val="32"/>
          <w:szCs w:val="32"/>
        </w:rPr>
      </w:pPr>
      <w:r>
        <w:rPr>
          <w:rFonts w:hint="eastAsia" w:ascii="仿宋" w:hAnsi="仿宋" w:eastAsia="仿宋" w:cs="仿宋"/>
          <w:color w:val="000000"/>
          <w:sz w:val="32"/>
          <w:szCs w:val="32"/>
        </w:rPr>
        <w:t>地方一般公共预算支出273920万元，主要支出明细:基本支出</w:t>
      </w:r>
      <w:r>
        <w:rPr>
          <w:rFonts w:hint="eastAsia" w:ascii="仿宋" w:hAnsi="仿宋" w:eastAsia="仿宋" w:cs="仿宋"/>
          <w:sz w:val="32"/>
          <w:szCs w:val="32"/>
        </w:rPr>
        <w:t>127497万元；县级财力安排项目支出</w:t>
      </w:r>
      <w:r>
        <w:rPr>
          <w:rFonts w:hint="eastAsia" w:ascii="仿宋" w:hAnsi="仿宋" w:eastAsia="仿宋" w:cs="仿宋"/>
          <w:color w:val="000000"/>
          <w:sz w:val="32"/>
          <w:szCs w:val="32"/>
        </w:rPr>
        <w:t>25823</w:t>
      </w:r>
      <w:r>
        <w:rPr>
          <w:rFonts w:hint="eastAsia" w:ascii="仿宋" w:hAnsi="仿宋" w:eastAsia="仿宋" w:cs="仿宋"/>
          <w:sz w:val="32"/>
          <w:szCs w:val="32"/>
        </w:rPr>
        <w:t>万元；上级专项安排项目支出120600万元。</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地方一般公共预算平衡情况：地方一般公共预算收入53000万元，上级转移支付收入189457万元，调入资金34800万元，调入预算稳定调节基金633万元，收入总计277890万元。地方一般公共预算支出273920万元，债务还本支出500万元，上解上级支出3470万元，支出总计277890万元。收支平衡。</w:t>
      </w:r>
    </w:p>
    <w:p>
      <w:pPr>
        <w:spacing w:line="580" w:lineRule="exact"/>
        <w:ind w:firstLine="630"/>
        <w:rPr>
          <w:rFonts w:hint="eastAsia" w:ascii="仿宋" w:hAnsi="仿宋" w:eastAsia="仿宋" w:cs="仿宋"/>
          <w:sz w:val="32"/>
          <w:szCs w:val="32"/>
        </w:rPr>
      </w:pPr>
      <w:r>
        <w:rPr>
          <w:rFonts w:hint="eastAsia" w:ascii="仿宋" w:hAnsi="仿宋" w:eastAsia="仿宋" w:cs="仿宋"/>
          <w:sz w:val="32"/>
          <w:szCs w:val="32"/>
        </w:rPr>
        <w:t>预计上级转移支付收入189457</w:t>
      </w:r>
      <w:r>
        <w:rPr>
          <w:rFonts w:hint="eastAsia" w:ascii="仿宋" w:hAnsi="仿宋" w:eastAsia="仿宋" w:cs="仿宋"/>
          <w:color w:val="000000"/>
          <w:sz w:val="32"/>
          <w:szCs w:val="32"/>
        </w:rPr>
        <w:t>万元，具体</w:t>
      </w:r>
      <w:r>
        <w:rPr>
          <w:rFonts w:hint="eastAsia" w:ascii="仿宋" w:hAnsi="仿宋" w:eastAsia="仿宋" w:cs="仿宋"/>
          <w:sz w:val="32"/>
          <w:szCs w:val="32"/>
        </w:rPr>
        <w:t>明细：返还性收入5531万元、体制补助收入879万元、均衡性转移支付收入28000万元、民族地区专项转移支付收入4490万元、边疆地区转移支付收入13000万元、贫困地区转移支付收入5600万元、县级基本财力保障机制奖补资金收入等转移收入3400万元、企事业单位划转补助收入1162万元、结算补助收入1558万元、基层公检法司转移支付收入1300万元、义务教育转移支付10089万元、基本养老金转移支付收入9000万元、新型农村合作医疗等转移支付收入9900万元、农村综合改革转移支付收入2000万元、产粮（油）大县奖励资金收入1600万元、重点生态功能区转移支付收入7148万元、固定数额补助收入13822万元、其他一般性转移支付收入878万元、专项转移支付收入70100万元。</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调入资金情况：2018年预计调入资金34800万元，其中：调入政府性基金33800万元，调入其它资金1000万元。</w:t>
      </w:r>
    </w:p>
    <w:p>
      <w:pPr>
        <w:spacing w:line="580" w:lineRule="exact"/>
        <w:ind w:firstLine="630"/>
        <w:rPr>
          <w:rFonts w:hint="eastAsia" w:ascii="仿宋" w:hAnsi="仿宋" w:eastAsia="仿宋" w:cs="仿宋"/>
          <w:sz w:val="32"/>
          <w:szCs w:val="32"/>
        </w:rPr>
      </w:pPr>
      <w:r>
        <w:rPr>
          <w:rFonts w:hint="eastAsia" w:ascii="仿宋" w:hAnsi="仿宋" w:eastAsia="仿宋" w:cs="仿宋"/>
          <w:sz w:val="32"/>
          <w:szCs w:val="32"/>
        </w:rPr>
        <w:t>2018年预备费安排2000</w:t>
      </w:r>
      <w:r>
        <w:rPr>
          <w:rFonts w:hint="eastAsia" w:ascii="仿宋" w:hAnsi="仿宋" w:eastAsia="仿宋" w:cs="仿宋"/>
          <w:color w:val="000000"/>
          <w:sz w:val="32"/>
          <w:szCs w:val="32"/>
        </w:rPr>
        <w:t>万元，</w:t>
      </w:r>
      <w:r>
        <w:rPr>
          <w:rFonts w:hint="eastAsia" w:ascii="仿宋" w:hAnsi="仿宋" w:eastAsia="仿宋" w:cs="仿宋"/>
          <w:sz w:val="32"/>
          <w:szCs w:val="32"/>
        </w:rPr>
        <w:t>占县级财力安排支出1.3%</w:t>
      </w:r>
      <w:r>
        <w:rPr>
          <w:rFonts w:hint="eastAsia" w:ascii="仿宋" w:hAnsi="仿宋" w:eastAsia="仿宋" w:cs="仿宋"/>
          <w:color w:val="000000"/>
          <w:sz w:val="32"/>
          <w:szCs w:val="32"/>
        </w:rPr>
        <w:t>。</w:t>
      </w:r>
    </w:p>
    <w:p>
      <w:pPr>
        <w:spacing w:line="560" w:lineRule="exact"/>
        <w:rPr>
          <w:rFonts w:hint="eastAsia" w:ascii="仿宋" w:hAnsi="仿宋" w:eastAsia="仿宋" w:cs="仿宋"/>
          <w:b/>
          <w:bCs/>
          <w:color w:val="000000"/>
          <w:sz w:val="32"/>
          <w:szCs w:val="32"/>
        </w:rPr>
      </w:pPr>
      <w:r>
        <w:rPr>
          <w:rFonts w:hint="eastAsia" w:ascii="仿宋" w:hAnsi="仿宋" w:eastAsia="仿宋" w:cs="仿宋"/>
          <w:color w:val="000000"/>
          <w:sz w:val="32"/>
          <w:szCs w:val="32"/>
        </w:rPr>
        <w:tab/>
      </w:r>
      <w:r>
        <w:rPr>
          <w:rFonts w:hint="eastAsia" w:ascii="仿宋" w:hAnsi="仿宋" w:eastAsia="仿宋" w:cs="仿宋"/>
          <w:b/>
          <w:bCs/>
          <w:color w:val="000000"/>
          <w:sz w:val="32"/>
          <w:szCs w:val="32"/>
        </w:rPr>
        <w:t>（二）政府性基金预算草案</w:t>
      </w:r>
    </w:p>
    <w:p>
      <w:pPr>
        <w:tabs>
          <w:tab w:val="left" w:pos="595"/>
        </w:tabs>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2018年政府性基金预算收入建议数57700万元，较上年增长209%。政府性基金转移支付收入预计2300万元。2018年政府性基金预算支出建议数26865万元，较上年增长40%。政府性基金调出33800万元。债务还本支出500万元。</w:t>
      </w:r>
    </w:p>
    <w:p>
      <w:pPr>
        <w:tabs>
          <w:tab w:val="left" w:pos="595"/>
        </w:tabs>
        <w:spacing w:line="58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政府性基金预算平衡情况：政府性基金预算收入57700万元，政府性基金转移支付收入预计2300万元，上年结余1165万元，收入总计61165万元。政府性基金预算支出26865万元，政府性基金调出33800万元，债务还本支出500万元，支出总计61165万元。收支平衡。</w:t>
      </w:r>
    </w:p>
    <w:p>
      <w:pPr>
        <w:tabs>
          <w:tab w:val="left" w:pos="595"/>
        </w:tabs>
        <w:spacing w:line="58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1.政府性基金预算支出26865万元，其中：县级安排政府性基金支出24565万元，上级专项补助基金支出2300万元。</w:t>
      </w:r>
    </w:p>
    <w:p>
      <w:pPr>
        <w:tabs>
          <w:tab w:val="left" w:pos="595"/>
        </w:tabs>
        <w:spacing w:line="58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2.债务还本支出500万元，主要是偿还债券还本支出。</w:t>
      </w:r>
    </w:p>
    <w:p>
      <w:pPr>
        <w:tabs>
          <w:tab w:val="left" w:pos="600"/>
        </w:tabs>
        <w:spacing w:line="580" w:lineRule="exact"/>
        <w:ind w:firstLine="630" w:firstLineChars="196"/>
        <w:rPr>
          <w:rFonts w:hint="eastAsia" w:ascii="仿宋" w:hAnsi="仿宋" w:eastAsia="仿宋" w:cs="仿宋"/>
          <w:b/>
          <w:bCs/>
          <w:sz w:val="32"/>
          <w:szCs w:val="32"/>
        </w:rPr>
      </w:pPr>
      <w:r>
        <w:rPr>
          <w:rFonts w:hint="eastAsia" w:ascii="仿宋" w:hAnsi="仿宋" w:eastAsia="仿宋" w:cs="仿宋"/>
          <w:b/>
          <w:bCs/>
          <w:sz w:val="32"/>
          <w:szCs w:val="32"/>
        </w:rPr>
        <w:t>（三）国有资本经营预算草案</w:t>
      </w:r>
    </w:p>
    <w:p>
      <w:pPr>
        <w:tabs>
          <w:tab w:val="left" w:pos="770"/>
        </w:tabs>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2018年国有资本经营预算收入建议数18万元,比上年下降51%，主要是股利、股息预计收入18万元。</w:t>
      </w:r>
    </w:p>
    <w:p>
      <w:pPr>
        <w:tabs>
          <w:tab w:val="left" w:pos="770"/>
        </w:tabs>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国有资本经营预算支出建议数18万元，比上年下降51%。</w:t>
      </w:r>
    </w:p>
    <w:p>
      <w:pPr>
        <w:tabs>
          <w:tab w:val="left" w:pos="770"/>
        </w:tabs>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（四）社会保险基金预算草案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2018年，地方财政社会保险基金收入建议数120948万元，比上年增长6.2%。</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地方财政社会保险基金支出建议数118391万元，比上年增长4.5%。</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三、2018年财政工作重点</w:t>
      </w:r>
    </w:p>
    <w:p>
      <w:pPr>
        <w:shd w:val="clear" w:color="auto" w:fill="FFFFFF"/>
        <w:spacing w:line="600" w:lineRule="exact"/>
        <w:ind w:firstLine="643"/>
        <w:rPr>
          <w:rFonts w:hint="eastAsia" w:ascii="仿宋" w:hAnsi="仿宋" w:eastAsia="仿宋" w:cs="仿宋"/>
          <w:color w:val="000000"/>
          <w:kern w:val="0"/>
          <w:sz w:val="32"/>
          <w:szCs w:val="32"/>
        </w:rPr>
      </w:pPr>
      <w:r>
        <w:rPr>
          <w:rFonts w:hint="eastAsia" w:ascii="仿宋" w:hAnsi="仿宋" w:eastAsia="仿宋" w:cs="仿宋"/>
          <w:color w:val="000000"/>
          <w:sz w:val="32"/>
          <w:szCs w:val="32"/>
        </w:rPr>
        <w:t>（一）</w:t>
      </w:r>
      <w:r>
        <w:rPr>
          <w:rFonts w:hint="eastAsia" w:ascii="仿宋" w:hAnsi="仿宋" w:eastAsia="仿宋" w:cs="仿宋"/>
          <w:b/>
          <w:bCs/>
          <w:color w:val="000000"/>
          <w:kern w:val="0"/>
          <w:sz w:val="32"/>
          <w:szCs w:val="32"/>
        </w:rPr>
        <w:t>积极培植财源，促进财政增收</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rPr>
        <w:t>加大产业发展投入，促进传统产业转型升级。积极为企业争取各类专项资金，支持企业做大做强。创新财政投入方式，支持大众创业、万众创新，撬动更多金融资金支持实体经济。加大工业园区基础设施建设投入，推广运用政府和社会资本合作模式加快园区污水处理厂建设，提升园区服务功能。落实好各项结构性减税降费政策，切实减轻企业负担，降低企业经营成本。</w:t>
      </w:r>
    </w:p>
    <w:p>
      <w:pPr>
        <w:shd w:val="clear" w:color="auto" w:fill="FFFFFF"/>
        <w:spacing w:line="600" w:lineRule="exact"/>
        <w:ind w:firstLine="643"/>
        <w:rPr>
          <w:rFonts w:hint="eastAsia" w:ascii="仿宋" w:hAnsi="仿宋" w:eastAsia="仿宋" w:cs="仿宋"/>
          <w:color w:val="000000"/>
          <w:sz w:val="32"/>
          <w:szCs w:val="32"/>
          <w:shd w:val="clear" w:color="auto" w:fill="FFFFFF"/>
        </w:rPr>
      </w:pPr>
      <w:r>
        <w:rPr>
          <w:rFonts w:hint="eastAsia" w:ascii="仿宋" w:hAnsi="仿宋" w:eastAsia="仿宋" w:cs="仿宋"/>
          <w:b/>
          <w:bCs/>
          <w:color w:val="000000"/>
          <w:kern w:val="0"/>
          <w:sz w:val="32"/>
          <w:szCs w:val="32"/>
        </w:rPr>
        <w:t>（二）强化收入征管，</w:t>
      </w:r>
      <w:r>
        <w:rPr>
          <w:rFonts w:hint="eastAsia" w:ascii="仿宋" w:hAnsi="仿宋" w:eastAsia="仿宋" w:cs="仿宋"/>
          <w:b/>
          <w:sz w:val="32"/>
          <w:szCs w:val="32"/>
        </w:rPr>
        <w:t>确保征收目标</w:t>
      </w:r>
      <w:r>
        <w:rPr>
          <w:rFonts w:hint="eastAsia" w:ascii="仿宋" w:hAnsi="仿宋" w:eastAsia="仿宋" w:cs="仿宋"/>
          <w:sz w:val="32"/>
          <w:szCs w:val="32"/>
        </w:rPr>
        <w:t>。完善税收征收管理，</w:t>
      </w:r>
      <w:r>
        <w:rPr>
          <w:rFonts w:hint="eastAsia" w:ascii="仿宋" w:hAnsi="仿宋" w:eastAsia="仿宋" w:cs="仿宋"/>
          <w:color w:val="000000"/>
          <w:sz w:val="32"/>
          <w:szCs w:val="32"/>
        </w:rPr>
        <w:t>推进财税信息共享系统建设，</w:t>
      </w:r>
      <w:r>
        <w:rPr>
          <w:rFonts w:hint="eastAsia" w:ascii="仿宋" w:hAnsi="仿宋" w:eastAsia="仿宋" w:cs="仿宋"/>
          <w:color w:val="000000"/>
          <w:sz w:val="32"/>
          <w:szCs w:val="32"/>
          <w:shd w:val="clear" w:color="auto" w:fill="FFFFFF"/>
        </w:rPr>
        <w:t>发挥好平台共享作用，提高税收征管质量和效率。严格依法治税，确保应收尽收，严禁越权减免税收。继续做好“营改增”跟踪评估，做好环境保护税宣传培训，确保1月1日顺利开征。规范非税收入征收管理，严格落实降低或取消行政事业性收费和政府性基金项目减费政策，加强财税部门协调，确保11项非税收入顺利移交地税部门征收。强化综合治税，有效防止建筑行业税收外流。</w:t>
      </w:r>
    </w:p>
    <w:p>
      <w:pPr>
        <w:spacing w:line="560" w:lineRule="exact"/>
        <w:ind w:firstLine="482" w:firstLineChars="150"/>
        <w:rPr>
          <w:rFonts w:hint="eastAsia" w:ascii="仿宋" w:hAnsi="仿宋" w:eastAsia="仿宋" w:cs="仿宋"/>
          <w:color w:val="000000"/>
          <w:sz w:val="32"/>
          <w:szCs w:val="32"/>
        </w:rPr>
      </w:pPr>
      <w:r>
        <w:rPr>
          <w:rFonts w:hint="eastAsia" w:ascii="仿宋" w:hAnsi="仿宋" w:eastAsia="仿宋" w:cs="仿宋"/>
          <w:b/>
          <w:color w:val="000000"/>
          <w:sz w:val="32"/>
          <w:szCs w:val="32"/>
        </w:rPr>
        <w:t>（三）全力筹措资金，持续改善民生。</w:t>
      </w:r>
      <w:r>
        <w:rPr>
          <w:rFonts w:hint="eastAsia" w:ascii="仿宋" w:hAnsi="仿宋" w:eastAsia="仿宋" w:cs="仿宋"/>
          <w:color w:val="000000"/>
          <w:sz w:val="32"/>
          <w:szCs w:val="32"/>
        </w:rPr>
        <w:t>有效落实“保工资、保运转、保基本民生”的财政保障责任，确保民生支出占地方一般公共预算比重稳定在70%以上。继续加大扶贫投入，有效推进系列扶贫措施的落实到位，坚决打好脱贫攻坚战。继续加大教育投入，支持“一村一幼”工程、县一中、勐海镇中学综合楼项目建设，提升学前教育公共服务能力，巩固义务教育均衡发展成果。完善社会保障体系，切实保障各项社保政策的落实。推进基本公共卫生服务体系建设，改善城乡医疗条件。加大基础设施建设投入，改善城乡人居环境。</w:t>
      </w:r>
    </w:p>
    <w:p>
      <w:pPr>
        <w:tabs>
          <w:tab w:val="left" w:pos="312"/>
        </w:tabs>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（四）推进财政改革，提升管理水平。</w:t>
      </w:r>
      <w:r>
        <w:rPr>
          <w:rFonts w:hint="eastAsia" w:ascii="仿宋" w:hAnsi="仿宋" w:eastAsia="仿宋" w:cs="仿宋"/>
          <w:color w:val="000000"/>
          <w:sz w:val="32"/>
          <w:szCs w:val="32"/>
        </w:rPr>
        <w:t>继续推进预算管理改革，改革预算编审体系，创新预算编审方法，改革专项资金管理，完善预算支出标准体系。规范政府债务管理，严格执行政府债务限额，有效防范政府债务风险。推进政府购买服务改革，搭建购买服务平台，规范政府购买服务流程。推进政府和社会资本合作模式，做好项目物有所值和财政可承受能力论证，切实防范财政风险。积极推进预决算信息公开，将公开范围扩大到民生资金、政策和预算绩效，提高预决算透明度。深化国有企业管理改革，完善企业法人治理结构，规范企业运行，推进建立现代企业制度。推进预算绩效管理改革，逐步建立覆盖所有财政资金的“预算编制有目标、预算执行有监控、预算完成有评价、评价结果有反馈、反馈结果有应用、预算绩效有考核”全过程预算绩效管理机制。</w:t>
      </w:r>
    </w:p>
    <w:p>
      <w:pPr>
        <w:pStyle w:val="11"/>
        <w:shd w:val="clear" w:color="auto" w:fill="FFFFFF"/>
        <w:spacing w:before="0" w:beforeAutospacing="0" w:after="0" w:afterAutospacing="0" w:line="560" w:lineRule="exact"/>
        <w:ind w:firstLine="643" w:firstLineChars="200"/>
        <w:outlineLvl w:val="2"/>
        <w:rPr>
          <w:rFonts w:hint="eastAsia" w:ascii="仿宋" w:hAnsi="仿宋" w:eastAsia="仿宋" w:cs="仿宋"/>
          <w:color w:val="000000"/>
          <w:sz w:val="32"/>
          <w:szCs w:val="32"/>
        </w:rPr>
      </w:pPr>
      <w:r>
        <w:rPr>
          <w:rFonts w:hint="eastAsia" w:ascii="仿宋" w:hAnsi="仿宋" w:eastAsia="仿宋" w:cs="仿宋"/>
          <w:b/>
          <w:color w:val="000000"/>
          <w:sz w:val="32"/>
          <w:szCs w:val="32"/>
        </w:rPr>
        <w:t>（五）强化财政监督，严格依法理财。</w:t>
      </w:r>
      <w:r>
        <w:rPr>
          <w:rFonts w:hint="eastAsia" w:ascii="仿宋" w:hAnsi="仿宋" w:eastAsia="仿宋" w:cs="仿宋"/>
          <w:color w:val="000000"/>
          <w:sz w:val="32"/>
          <w:szCs w:val="32"/>
        </w:rPr>
        <w:t>完善财政监督机制，整合监督监管力量，实现财政监督全覆盖，加大对重点支出领域和重大项目的监督，强化责任追究。</w:t>
      </w:r>
      <w:r>
        <w:rPr>
          <w:rFonts w:hint="eastAsia" w:ascii="仿宋" w:hAnsi="仿宋" w:eastAsia="仿宋" w:cs="仿宋"/>
          <w:color w:val="000000"/>
          <w:kern w:val="2"/>
          <w:sz w:val="32"/>
          <w:szCs w:val="32"/>
        </w:rPr>
        <w:t>加大《预算法》、《会计法》和《采购法》等法律法规的宣传培训力度，提高财务人员依法行政、依法理财能力，增强风险防范意识。加强干部队伍作风建设和廉政建设，增强干部责任意识和廉洁从政意识。</w:t>
      </w:r>
    </w:p>
    <w:p>
      <w:pPr>
        <w:shd w:val="clear" w:color="auto" w:fill="FFFFFF"/>
        <w:spacing w:line="580" w:lineRule="exact"/>
        <w:ind w:firstLine="627"/>
        <w:rPr>
          <w:rFonts w:hint="eastAsia" w:ascii="仿宋" w:hAnsi="仿宋" w:eastAsia="仿宋" w:cs="仿宋"/>
          <w:color w:val="000000"/>
          <w:sz w:val="32"/>
          <w:szCs w:val="32"/>
        </w:rPr>
      </w:pPr>
      <w:r>
        <w:rPr>
          <w:rFonts w:hint="eastAsia" w:ascii="仿宋" w:hAnsi="仿宋" w:eastAsia="仿宋" w:cs="仿宋"/>
          <w:color w:val="000000"/>
          <w:sz w:val="32"/>
          <w:szCs w:val="32"/>
        </w:rPr>
        <w:t>各位代表：</w:t>
      </w:r>
      <w:r>
        <w:rPr>
          <w:rFonts w:hint="eastAsia" w:ascii="仿宋" w:hAnsi="仿宋" w:eastAsia="仿宋" w:cs="仿宋"/>
          <w:color w:val="000000"/>
          <w:kern w:val="0"/>
          <w:sz w:val="32"/>
          <w:szCs w:val="32"/>
        </w:rPr>
        <w:t>做好2018年财政工作任务</w:t>
      </w:r>
      <w:r>
        <w:rPr>
          <w:rFonts w:hint="eastAsia" w:ascii="仿宋" w:hAnsi="仿宋" w:eastAsia="仿宋" w:cs="仿宋"/>
          <w:color w:val="000000"/>
          <w:sz w:val="32"/>
          <w:szCs w:val="32"/>
        </w:rPr>
        <w:t>繁重</w:t>
      </w:r>
      <w:r>
        <w:rPr>
          <w:rFonts w:hint="eastAsia" w:ascii="仿宋" w:hAnsi="仿宋" w:eastAsia="仿宋" w:cs="仿宋"/>
          <w:color w:val="000000"/>
          <w:kern w:val="0"/>
          <w:sz w:val="32"/>
          <w:szCs w:val="32"/>
        </w:rPr>
        <w:t>，我们将在县委的坚强领导下，在县人大及其常委会的监督支持下，</w:t>
      </w:r>
      <w:r>
        <w:rPr>
          <w:rFonts w:hint="eastAsia" w:ascii="仿宋" w:hAnsi="仿宋" w:eastAsia="仿宋" w:cs="仿宋"/>
          <w:color w:val="000000"/>
          <w:sz w:val="32"/>
          <w:szCs w:val="32"/>
        </w:rPr>
        <w:t>采取更加有力的措施，继续深化财税体制改革，加强财政监管，为建立现代财政制度，为决战脱贫攻坚、决胜全面小康而努力奋斗！</w:t>
      </w:r>
    </w:p>
    <w:p>
      <w:pPr>
        <w:shd w:val="clear" w:color="auto" w:fill="FFFFFF"/>
        <w:spacing w:line="580" w:lineRule="exact"/>
        <w:ind w:firstLine="627"/>
        <w:rPr>
          <w:rFonts w:hint="eastAsia" w:ascii="仿宋" w:hAnsi="仿宋" w:eastAsia="仿宋" w:cs="仿宋"/>
          <w:color w:val="000000"/>
          <w:sz w:val="32"/>
          <w:szCs w:val="32"/>
        </w:rPr>
      </w:pPr>
      <w:r>
        <w:rPr>
          <w:rFonts w:hint="eastAsia" w:ascii="仿宋" w:hAnsi="仿宋" w:eastAsia="仿宋" w:cs="仿宋"/>
          <w:color w:val="000000"/>
          <w:sz w:val="32"/>
          <w:szCs w:val="32"/>
        </w:rPr>
        <w:t>以上报告，请予审议。</w:t>
      </w:r>
    </w:p>
    <w:sectPr>
      <w:headerReference r:id="rId3" w:type="default"/>
      <w:footerReference r:id="rId4" w:type="default"/>
      <w:pgSz w:w="11906" w:h="16838"/>
      <w:pgMar w:top="1418" w:right="1588" w:bottom="124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 w:hAnsi="仿宋" w:eastAsia="仿宋" w:cs="仿宋"/>
        <w:sz w:val="28"/>
        <w:szCs w:val="28"/>
      </w:rPr>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rPr>
                    <w:rFonts w:ascii="仿宋" w:hAnsi="仿宋" w:eastAsia="仿宋" w:cs="仿宋"/>
                    <w:sz w:val="28"/>
                    <w:szCs w:val="28"/>
                  </w:rPr>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1 -</w:t>
                </w:r>
                <w:r>
                  <w:rPr>
                    <w:rFonts w:ascii="仿宋" w:hAnsi="仿宋" w:eastAsia="仿宋" w:cs="仿宋"/>
                    <w:sz w:val="28"/>
                    <w:szCs w:val="28"/>
                  </w:rPr>
                  <w:fldChar w:fldCharType="end"/>
                </w:r>
              </w:p>
              <w:p/>
            </w:txbxContent>
          </v:textbox>
        </v:shape>
      </w:pict>
    </w:r>
  </w:p>
  <w:p>
    <w:pPr>
      <w:pStyle w:val="3"/>
      <w:rPr>
        <w:rFonts w:ascii="仿宋" w:hAnsi="仿宋" w:eastAsia="仿宋" w:cs="仿宋"/>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32F0E"/>
    <w:multiLevelType w:val="multilevel"/>
    <w:tmpl w:val="57B32F0E"/>
    <w:lvl w:ilvl="0" w:tentative="0">
      <w:start w:val="1"/>
      <w:numFmt w:val="japaneseCounting"/>
      <w:lvlText w:val="（%1）"/>
      <w:lvlJc w:val="left"/>
      <w:pPr>
        <w:tabs>
          <w:tab w:val="left" w:pos="1720"/>
        </w:tabs>
        <w:ind w:left="1720" w:hanging="1080"/>
      </w:pPr>
      <w:rPr>
        <w:rFonts w:hint="default" w:cs="Times New Roman"/>
        <w:lang w:val="en-US"/>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C5309"/>
    <w:rsid w:val="00004533"/>
    <w:rsid w:val="000056AE"/>
    <w:rsid w:val="00013004"/>
    <w:rsid w:val="00015C81"/>
    <w:rsid w:val="00042079"/>
    <w:rsid w:val="00043B52"/>
    <w:rsid w:val="000443DC"/>
    <w:rsid w:val="00050CF6"/>
    <w:rsid w:val="0005151C"/>
    <w:rsid w:val="00051F85"/>
    <w:rsid w:val="000559C4"/>
    <w:rsid w:val="00072C76"/>
    <w:rsid w:val="000752E7"/>
    <w:rsid w:val="00076393"/>
    <w:rsid w:val="0008130D"/>
    <w:rsid w:val="00084EAB"/>
    <w:rsid w:val="00086FA5"/>
    <w:rsid w:val="0009291E"/>
    <w:rsid w:val="0009486E"/>
    <w:rsid w:val="000A0230"/>
    <w:rsid w:val="000B4137"/>
    <w:rsid w:val="000C21DB"/>
    <w:rsid w:val="000D3E4A"/>
    <w:rsid w:val="000E4C71"/>
    <w:rsid w:val="000E7452"/>
    <w:rsid w:val="000F67ED"/>
    <w:rsid w:val="001004B5"/>
    <w:rsid w:val="0010534F"/>
    <w:rsid w:val="00112308"/>
    <w:rsid w:val="00120B70"/>
    <w:rsid w:val="0012252F"/>
    <w:rsid w:val="0012751A"/>
    <w:rsid w:val="00136079"/>
    <w:rsid w:val="00137DD1"/>
    <w:rsid w:val="00143349"/>
    <w:rsid w:val="00143C1F"/>
    <w:rsid w:val="001647A7"/>
    <w:rsid w:val="0016769D"/>
    <w:rsid w:val="00173564"/>
    <w:rsid w:val="00187764"/>
    <w:rsid w:val="001919BF"/>
    <w:rsid w:val="00194F75"/>
    <w:rsid w:val="00197356"/>
    <w:rsid w:val="001A0ECA"/>
    <w:rsid w:val="001A2A65"/>
    <w:rsid w:val="001A522D"/>
    <w:rsid w:val="001A6CD6"/>
    <w:rsid w:val="001A799B"/>
    <w:rsid w:val="001B327E"/>
    <w:rsid w:val="001B4691"/>
    <w:rsid w:val="001B7D52"/>
    <w:rsid w:val="001C2B38"/>
    <w:rsid w:val="001E34B4"/>
    <w:rsid w:val="001E7F7F"/>
    <w:rsid w:val="001F0295"/>
    <w:rsid w:val="001F1DAC"/>
    <w:rsid w:val="001F32D9"/>
    <w:rsid w:val="00202355"/>
    <w:rsid w:val="0020555C"/>
    <w:rsid w:val="00205762"/>
    <w:rsid w:val="0021413E"/>
    <w:rsid w:val="00223767"/>
    <w:rsid w:val="00227A1A"/>
    <w:rsid w:val="002304CD"/>
    <w:rsid w:val="00231406"/>
    <w:rsid w:val="002347CC"/>
    <w:rsid w:val="00236D8A"/>
    <w:rsid w:val="0024234C"/>
    <w:rsid w:val="00246C1F"/>
    <w:rsid w:val="00253E76"/>
    <w:rsid w:val="00273284"/>
    <w:rsid w:val="00280B30"/>
    <w:rsid w:val="00283C1B"/>
    <w:rsid w:val="00291208"/>
    <w:rsid w:val="00294E57"/>
    <w:rsid w:val="00297AD1"/>
    <w:rsid w:val="002A4D04"/>
    <w:rsid w:val="002B03C5"/>
    <w:rsid w:val="002B2965"/>
    <w:rsid w:val="002B3D4F"/>
    <w:rsid w:val="002B56F7"/>
    <w:rsid w:val="002B7A0E"/>
    <w:rsid w:val="002C248A"/>
    <w:rsid w:val="002C3F86"/>
    <w:rsid w:val="002E24C5"/>
    <w:rsid w:val="0031114C"/>
    <w:rsid w:val="003139EC"/>
    <w:rsid w:val="003144E9"/>
    <w:rsid w:val="00315E3A"/>
    <w:rsid w:val="00331C7B"/>
    <w:rsid w:val="00334A48"/>
    <w:rsid w:val="00336CCF"/>
    <w:rsid w:val="00341644"/>
    <w:rsid w:val="00350113"/>
    <w:rsid w:val="00354E32"/>
    <w:rsid w:val="00363E57"/>
    <w:rsid w:val="00376A0B"/>
    <w:rsid w:val="00380813"/>
    <w:rsid w:val="00382BC1"/>
    <w:rsid w:val="003B41C3"/>
    <w:rsid w:val="003C0565"/>
    <w:rsid w:val="003C6655"/>
    <w:rsid w:val="003D0CCD"/>
    <w:rsid w:val="003D543A"/>
    <w:rsid w:val="003D7E70"/>
    <w:rsid w:val="003F06E8"/>
    <w:rsid w:val="003F1047"/>
    <w:rsid w:val="003F3E97"/>
    <w:rsid w:val="00400AC6"/>
    <w:rsid w:val="00402832"/>
    <w:rsid w:val="00413DC6"/>
    <w:rsid w:val="00422638"/>
    <w:rsid w:val="0042714E"/>
    <w:rsid w:val="00445275"/>
    <w:rsid w:val="004455CC"/>
    <w:rsid w:val="00445E6E"/>
    <w:rsid w:val="004472C8"/>
    <w:rsid w:val="00465498"/>
    <w:rsid w:val="004727F4"/>
    <w:rsid w:val="00485F42"/>
    <w:rsid w:val="004A3EDB"/>
    <w:rsid w:val="004A501C"/>
    <w:rsid w:val="004A6A22"/>
    <w:rsid w:val="004B1B3B"/>
    <w:rsid w:val="004B2E72"/>
    <w:rsid w:val="004B456F"/>
    <w:rsid w:val="004B56B7"/>
    <w:rsid w:val="004C0F9E"/>
    <w:rsid w:val="004C18F7"/>
    <w:rsid w:val="004C2881"/>
    <w:rsid w:val="004C35D7"/>
    <w:rsid w:val="004D236B"/>
    <w:rsid w:val="004D32D1"/>
    <w:rsid w:val="004E02E1"/>
    <w:rsid w:val="004E188D"/>
    <w:rsid w:val="004E4E54"/>
    <w:rsid w:val="004E6AAB"/>
    <w:rsid w:val="004F5A41"/>
    <w:rsid w:val="0050327A"/>
    <w:rsid w:val="00503B22"/>
    <w:rsid w:val="00504E91"/>
    <w:rsid w:val="005101B1"/>
    <w:rsid w:val="00532B52"/>
    <w:rsid w:val="00544063"/>
    <w:rsid w:val="00546857"/>
    <w:rsid w:val="00546EB9"/>
    <w:rsid w:val="005527E0"/>
    <w:rsid w:val="00553FFA"/>
    <w:rsid w:val="005577EC"/>
    <w:rsid w:val="00561622"/>
    <w:rsid w:val="00571E76"/>
    <w:rsid w:val="00572FEE"/>
    <w:rsid w:val="00574F53"/>
    <w:rsid w:val="00580B48"/>
    <w:rsid w:val="005846B3"/>
    <w:rsid w:val="00587760"/>
    <w:rsid w:val="005A2127"/>
    <w:rsid w:val="005B29E1"/>
    <w:rsid w:val="005B5BF2"/>
    <w:rsid w:val="005B5FA9"/>
    <w:rsid w:val="005C7CED"/>
    <w:rsid w:val="005E67DC"/>
    <w:rsid w:val="005E7075"/>
    <w:rsid w:val="005E7770"/>
    <w:rsid w:val="005F4ECF"/>
    <w:rsid w:val="005F509B"/>
    <w:rsid w:val="006015E9"/>
    <w:rsid w:val="00603DF8"/>
    <w:rsid w:val="00624F50"/>
    <w:rsid w:val="00625522"/>
    <w:rsid w:val="00640E58"/>
    <w:rsid w:val="00641633"/>
    <w:rsid w:val="00651DF2"/>
    <w:rsid w:val="0065245A"/>
    <w:rsid w:val="00652B4E"/>
    <w:rsid w:val="00653B40"/>
    <w:rsid w:val="00655508"/>
    <w:rsid w:val="00655F98"/>
    <w:rsid w:val="00661A75"/>
    <w:rsid w:val="00663C3D"/>
    <w:rsid w:val="006735DC"/>
    <w:rsid w:val="00687FDD"/>
    <w:rsid w:val="00695940"/>
    <w:rsid w:val="006C6D2F"/>
    <w:rsid w:val="006C7131"/>
    <w:rsid w:val="006D08C5"/>
    <w:rsid w:val="006D449B"/>
    <w:rsid w:val="006D7008"/>
    <w:rsid w:val="006E2F1A"/>
    <w:rsid w:val="006E467D"/>
    <w:rsid w:val="006F5234"/>
    <w:rsid w:val="006F5C7F"/>
    <w:rsid w:val="007017E3"/>
    <w:rsid w:val="00705773"/>
    <w:rsid w:val="00712E9C"/>
    <w:rsid w:val="00721C1A"/>
    <w:rsid w:val="007275B3"/>
    <w:rsid w:val="00735710"/>
    <w:rsid w:val="00742851"/>
    <w:rsid w:val="00752514"/>
    <w:rsid w:val="007543CD"/>
    <w:rsid w:val="007644B5"/>
    <w:rsid w:val="00767ED7"/>
    <w:rsid w:val="00777278"/>
    <w:rsid w:val="00780520"/>
    <w:rsid w:val="007828DB"/>
    <w:rsid w:val="007848C3"/>
    <w:rsid w:val="0079467F"/>
    <w:rsid w:val="0079615E"/>
    <w:rsid w:val="007A0711"/>
    <w:rsid w:val="007A7EE4"/>
    <w:rsid w:val="007B0E60"/>
    <w:rsid w:val="007B2D2F"/>
    <w:rsid w:val="007C08F5"/>
    <w:rsid w:val="007C4250"/>
    <w:rsid w:val="007C4A3B"/>
    <w:rsid w:val="007D4364"/>
    <w:rsid w:val="007D67DA"/>
    <w:rsid w:val="007E2B1F"/>
    <w:rsid w:val="007F2AF8"/>
    <w:rsid w:val="007F6866"/>
    <w:rsid w:val="00801573"/>
    <w:rsid w:val="008202D3"/>
    <w:rsid w:val="008217AF"/>
    <w:rsid w:val="00832F3C"/>
    <w:rsid w:val="00840413"/>
    <w:rsid w:val="0084559E"/>
    <w:rsid w:val="0084668D"/>
    <w:rsid w:val="00865CE2"/>
    <w:rsid w:val="00880584"/>
    <w:rsid w:val="00884C95"/>
    <w:rsid w:val="008919ED"/>
    <w:rsid w:val="008B0F6D"/>
    <w:rsid w:val="008B5BDE"/>
    <w:rsid w:val="008C5309"/>
    <w:rsid w:val="008D3F9D"/>
    <w:rsid w:val="008D47DA"/>
    <w:rsid w:val="008D4A0F"/>
    <w:rsid w:val="008D6381"/>
    <w:rsid w:val="008E2896"/>
    <w:rsid w:val="008F4B85"/>
    <w:rsid w:val="00901D62"/>
    <w:rsid w:val="00903151"/>
    <w:rsid w:val="009033DB"/>
    <w:rsid w:val="00904A55"/>
    <w:rsid w:val="00904D7A"/>
    <w:rsid w:val="00915D3A"/>
    <w:rsid w:val="00923AB8"/>
    <w:rsid w:val="00926575"/>
    <w:rsid w:val="00926D45"/>
    <w:rsid w:val="00934E95"/>
    <w:rsid w:val="00936D60"/>
    <w:rsid w:val="0094732F"/>
    <w:rsid w:val="00951D64"/>
    <w:rsid w:val="00955158"/>
    <w:rsid w:val="00963231"/>
    <w:rsid w:val="009670B8"/>
    <w:rsid w:val="009723B0"/>
    <w:rsid w:val="009723C7"/>
    <w:rsid w:val="00987F19"/>
    <w:rsid w:val="00990472"/>
    <w:rsid w:val="00995C36"/>
    <w:rsid w:val="009A0A54"/>
    <w:rsid w:val="009B23E3"/>
    <w:rsid w:val="009B77B0"/>
    <w:rsid w:val="009C11BB"/>
    <w:rsid w:val="009C1C03"/>
    <w:rsid w:val="009C3AEE"/>
    <w:rsid w:val="009D0878"/>
    <w:rsid w:val="009E1194"/>
    <w:rsid w:val="009E2C5F"/>
    <w:rsid w:val="009F11C5"/>
    <w:rsid w:val="009F1E89"/>
    <w:rsid w:val="009F5765"/>
    <w:rsid w:val="00A03F41"/>
    <w:rsid w:val="00A07468"/>
    <w:rsid w:val="00A1183F"/>
    <w:rsid w:val="00A15DDA"/>
    <w:rsid w:val="00A27768"/>
    <w:rsid w:val="00A32A4B"/>
    <w:rsid w:val="00A35352"/>
    <w:rsid w:val="00A367E5"/>
    <w:rsid w:val="00A40B29"/>
    <w:rsid w:val="00A42B38"/>
    <w:rsid w:val="00A43391"/>
    <w:rsid w:val="00A53D11"/>
    <w:rsid w:val="00A55537"/>
    <w:rsid w:val="00A615A8"/>
    <w:rsid w:val="00A62C41"/>
    <w:rsid w:val="00A735CD"/>
    <w:rsid w:val="00A73691"/>
    <w:rsid w:val="00A746CD"/>
    <w:rsid w:val="00A76651"/>
    <w:rsid w:val="00A87452"/>
    <w:rsid w:val="00A87DE9"/>
    <w:rsid w:val="00A92D8C"/>
    <w:rsid w:val="00AA0D7A"/>
    <w:rsid w:val="00AA207A"/>
    <w:rsid w:val="00AA3EC5"/>
    <w:rsid w:val="00AB7EBB"/>
    <w:rsid w:val="00AE0107"/>
    <w:rsid w:val="00AE34F9"/>
    <w:rsid w:val="00AF20B6"/>
    <w:rsid w:val="00AF6428"/>
    <w:rsid w:val="00B00644"/>
    <w:rsid w:val="00B01ADC"/>
    <w:rsid w:val="00B11B53"/>
    <w:rsid w:val="00B2692F"/>
    <w:rsid w:val="00B35C3E"/>
    <w:rsid w:val="00B47A37"/>
    <w:rsid w:val="00B611AE"/>
    <w:rsid w:val="00B61E03"/>
    <w:rsid w:val="00B6344D"/>
    <w:rsid w:val="00B64893"/>
    <w:rsid w:val="00B65957"/>
    <w:rsid w:val="00B670A2"/>
    <w:rsid w:val="00B745EA"/>
    <w:rsid w:val="00B82DA8"/>
    <w:rsid w:val="00B83630"/>
    <w:rsid w:val="00B91DA6"/>
    <w:rsid w:val="00B9417B"/>
    <w:rsid w:val="00BA0118"/>
    <w:rsid w:val="00BA4FA8"/>
    <w:rsid w:val="00BA65A0"/>
    <w:rsid w:val="00BB4E12"/>
    <w:rsid w:val="00BD1060"/>
    <w:rsid w:val="00BD28BB"/>
    <w:rsid w:val="00BD3C88"/>
    <w:rsid w:val="00BE0F94"/>
    <w:rsid w:val="00BE1AEC"/>
    <w:rsid w:val="00BE35F2"/>
    <w:rsid w:val="00BE4D6D"/>
    <w:rsid w:val="00C04B23"/>
    <w:rsid w:val="00C05196"/>
    <w:rsid w:val="00C11B3C"/>
    <w:rsid w:val="00C25A3A"/>
    <w:rsid w:val="00C263AB"/>
    <w:rsid w:val="00C43549"/>
    <w:rsid w:val="00C47AF6"/>
    <w:rsid w:val="00C47D15"/>
    <w:rsid w:val="00C504B8"/>
    <w:rsid w:val="00C537AC"/>
    <w:rsid w:val="00C633A6"/>
    <w:rsid w:val="00C65E9A"/>
    <w:rsid w:val="00C66657"/>
    <w:rsid w:val="00C76BE9"/>
    <w:rsid w:val="00C825B8"/>
    <w:rsid w:val="00C87072"/>
    <w:rsid w:val="00C97E14"/>
    <w:rsid w:val="00CA3ACA"/>
    <w:rsid w:val="00CA5131"/>
    <w:rsid w:val="00CA770D"/>
    <w:rsid w:val="00CD12A4"/>
    <w:rsid w:val="00CE0871"/>
    <w:rsid w:val="00CF38B3"/>
    <w:rsid w:val="00CF6E5D"/>
    <w:rsid w:val="00CF78FB"/>
    <w:rsid w:val="00D027CE"/>
    <w:rsid w:val="00D06B7C"/>
    <w:rsid w:val="00D0708B"/>
    <w:rsid w:val="00D11400"/>
    <w:rsid w:val="00D12564"/>
    <w:rsid w:val="00D1394D"/>
    <w:rsid w:val="00D15E29"/>
    <w:rsid w:val="00D162CE"/>
    <w:rsid w:val="00D42972"/>
    <w:rsid w:val="00D53EBF"/>
    <w:rsid w:val="00D57D93"/>
    <w:rsid w:val="00D644F6"/>
    <w:rsid w:val="00D73B16"/>
    <w:rsid w:val="00D82171"/>
    <w:rsid w:val="00D836EF"/>
    <w:rsid w:val="00D92581"/>
    <w:rsid w:val="00D93509"/>
    <w:rsid w:val="00DB2965"/>
    <w:rsid w:val="00DB2BE7"/>
    <w:rsid w:val="00DB459C"/>
    <w:rsid w:val="00DC19DD"/>
    <w:rsid w:val="00DC6F5C"/>
    <w:rsid w:val="00DE1733"/>
    <w:rsid w:val="00DF0F05"/>
    <w:rsid w:val="00E0149F"/>
    <w:rsid w:val="00E04FD2"/>
    <w:rsid w:val="00E0657F"/>
    <w:rsid w:val="00E10B3F"/>
    <w:rsid w:val="00E112EC"/>
    <w:rsid w:val="00E128DC"/>
    <w:rsid w:val="00E16BE7"/>
    <w:rsid w:val="00E1740F"/>
    <w:rsid w:val="00E26823"/>
    <w:rsid w:val="00E26DF6"/>
    <w:rsid w:val="00E32E7F"/>
    <w:rsid w:val="00E44657"/>
    <w:rsid w:val="00E5062B"/>
    <w:rsid w:val="00E51DD9"/>
    <w:rsid w:val="00E53ED3"/>
    <w:rsid w:val="00E53F4A"/>
    <w:rsid w:val="00E606CC"/>
    <w:rsid w:val="00E64DDB"/>
    <w:rsid w:val="00E83EBA"/>
    <w:rsid w:val="00E85F1C"/>
    <w:rsid w:val="00EA512A"/>
    <w:rsid w:val="00EB20A3"/>
    <w:rsid w:val="00EB2205"/>
    <w:rsid w:val="00EB23C6"/>
    <w:rsid w:val="00EB62C7"/>
    <w:rsid w:val="00EC2A4D"/>
    <w:rsid w:val="00ED284E"/>
    <w:rsid w:val="00EE11F5"/>
    <w:rsid w:val="00EF0033"/>
    <w:rsid w:val="00EF6B90"/>
    <w:rsid w:val="00F10B64"/>
    <w:rsid w:val="00F11C4E"/>
    <w:rsid w:val="00F122D4"/>
    <w:rsid w:val="00F21740"/>
    <w:rsid w:val="00F24F7D"/>
    <w:rsid w:val="00F34A7D"/>
    <w:rsid w:val="00F608CD"/>
    <w:rsid w:val="00F60E4B"/>
    <w:rsid w:val="00F71438"/>
    <w:rsid w:val="00F72E25"/>
    <w:rsid w:val="00F748D3"/>
    <w:rsid w:val="00F7690C"/>
    <w:rsid w:val="00F83B83"/>
    <w:rsid w:val="00F92B46"/>
    <w:rsid w:val="00F93277"/>
    <w:rsid w:val="00FA0A50"/>
    <w:rsid w:val="00FA4935"/>
    <w:rsid w:val="00FF00AA"/>
    <w:rsid w:val="00FF05CC"/>
    <w:rsid w:val="0FD2259A"/>
    <w:rsid w:val="150E2232"/>
    <w:rsid w:val="15E16B49"/>
    <w:rsid w:val="19C762B7"/>
    <w:rsid w:val="1A206F64"/>
    <w:rsid w:val="1D277D58"/>
    <w:rsid w:val="33D72B9B"/>
    <w:rsid w:val="358B23D0"/>
    <w:rsid w:val="3C7065CF"/>
    <w:rsid w:val="407803E9"/>
    <w:rsid w:val="430661D2"/>
    <w:rsid w:val="4F571676"/>
    <w:rsid w:val="54141695"/>
    <w:rsid w:val="54F34A0E"/>
    <w:rsid w:val="6923756B"/>
    <w:rsid w:val="6C960781"/>
    <w:rsid w:val="6EB62410"/>
    <w:rsid w:val="73517642"/>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semiHidden="0"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4"/>
    <w:unhideWhenUsed/>
    <w:locked/>
    <w:uiPriority w:val="99"/>
    <w:rPr>
      <w:sz w:val="18"/>
      <w:szCs w:val="18"/>
    </w:r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locked/>
    <w:uiPriority w:val="99"/>
    <w:rPr>
      <w:rFonts w:cs="Times New Roman"/>
      <w:kern w:val="2"/>
      <w:sz w:val="18"/>
      <w:szCs w:val="18"/>
    </w:rPr>
  </w:style>
  <w:style w:type="character" w:customStyle="1" w:styleId="8">
    <w:name w:val="页眉 Char"/>
    <w:link w:val="4"/>
    <w:qFormat/>
    <w:locked/>
    <w:uiPriority w:val="99"/>
    <w:rPr>
      <w:rFonts w:cs="Times New Roman"/>
      <w:kern w:val="2"/>
      <w:sz w:val="18"/>
      <w:szCs w:val="18"/>
    </w:rPr>
  </w:style>
  <w:style w:type="paragraph" w:customStyle="1" w:styleId="9">
    <w:name w:val="Char"/>
    <w:basedOn w:val="1"/>
    <w:semiHidden/>
    <w:qFormat/>
    <w:uiPriority w:val="99"/>
    <w:rPr>
      <w:rFonts w:ascii="Times New Roman" w:hAnsi="Times New Roman"/>
    </w:rPr>
  </w:style>
  <w:style w:type="paragraph" w:customStyle="1" w:styleId="10">
    <w:name w:val="p15"/>
    <w:basedOn w:val="1"/>
    <w:qFormat/>
    <w:uiPriority w:val="99"/>
    <w:pPr>
      <w:widowControl/>
    </w:pPr>
    <w:rPr>
      <w:rFonts w:cs="宋体"/>
      <w:kern w:val="0"/>
      <w:szCs w:val="21"/>
    </w:rPr>
  </w:style>
  <w:style w:type="paragraph" w:customStyle="1" w:styleId="11">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
    <w:name w:val="List Paragraph"/>
    <w:basedOn w:val="1"/>
    <w:qFormat/>
    <w:uiPriority w:val="99"/>
    <w:pPr>
      <w:ind w:firstLine="420" w:firstLineChars="200"/>
    </w:pPr>
  </w:style>
  <w:style w:type="paragraph" w:customStyle="1" w:styleId="13">
    <w:name w:val="Char1"/>
    <w:basedOn w:val="1"/>
    <w:semiHidden/>
    <w:qFormat/>
    <w:uiPriority w:val="99"/>
    <w:rPr>
      <w:rFonts w:ascii="Times New Roman" w:hAnsi="Times New Roman"/>
    </w:rPr>
  </w:style>
  <w:style w:type="character" w:customStyle="1" w:styleId="14">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图一：</a:t>
            </a:r>
            <a:r>
              <a:rPr lang="en-US" altLang="zh-CN"/>
              <a:t>2017</a:t>
            </a:r>
            <a:r>
              <a:rPr lang="zh-CN" altLang="en-US"/>
              <a:t>年地方一般公共预算收入构成图</a:t>
            </a:r>
            <a:br>
              <a:rPr lang="en-US" altLang="zh-CN"/>
            </a:br>
            <a:r>
              <a:rPr lang="zh-CN" altLang="en-US"/>
              <a:t>（单位：万元）</a:t>
            </a:r>
            <a:endParaRPr lang="zh-CN" altLang="en-US"/>
          </a:p>
        </c:rich>
      </c:tx>
      <c:layout/>
      <c:overlay val="0"/>
    </c:title>
    <c:autoTitleDeleted val="0"/>
    <c:plotArea>
      <c:layout/>
      <c:pieChart>
        <c:varyColors val="1"/>
        <c:ser>
          <c:idx val="0"/>
          <c:order val="0"/>
          <c:tx>
            <c:strRef>
              <c:f>Sheet1!$B$1</c:f>
              <c:strCache>
                <c:ptCount val="1"/>
                <c:pt idx="0">
                  <c:v>图一：2017年地方一般公共预算收入构成图</c:v>
                </c:pt>
              </c:strCache>
            </c:strRef>
          </c:tx>
          <c:explosion val="25"/>
          <c:dPt>
            <c:idx val="0"/>
            <c:bubble3D val="0"/>
            <c:explosion val="6"/>
          </c:dPt>
          <c:dPt>
            <c:idx val="1"/>
            <c:bubble3D val="0"/>
            <c:explosion val="10"/>
          </c:dPt>
          <c:dPt>
            <c:idx val="2"/>
            <c:bubble3D val="0"/>
            <c:explosion val="16"/>
          </c:dPt>
          <c:dPt>
            <c:idx val="3"/>
            <c:bubble3D val="0"/>
            <c:explosion val="11"/>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非税收入 </a:t>
                    </a:r>
                    <a:r>
                      <a:rPr lang="en-US" altLang="zh-CN"/>
                      <a:t>23988 </a:t>
                    </a:r>
                    <a:endParaRPr lang="en-US" altLang="zh-CN"/>
                  </a:p>
                  <a:p>
                    <a:pPr>
                      <a:defRPr lang="zh-CN" sz="1000" b="0" i="0" u="none" strike="noStrike" kern="1200" baseline="0">
                        <a:solidFill>
                          <a:schemeClr val="tx1"/>
                        </a:solidFill>
                        <a:latin typeface="+mn-lt"/>
                        <a:ea typeface="+mn-ea"/>
                        <a:cs typeface="+mn-cs"/>
                      </a:defRPr>
                    </a:pPr>
                    <a:r>
                      <a:rPr lang="en-US" altLang="zh-CN"/>
                      <a:t>49%</a:t>
                    </a:r>
                    <a:endParaRPr lang="en-US" altLang="zh-CN"/>
                  </a:p>
                </c:rich>
              </c:tx>
              <c:dLblPos val="outEnd"/>
              <c:showLegendKey val="0"/>
              <c:showVal val="1"/>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增值税 </a:t>
                    </a:r>
                    <a:r>
                      <a:rPr lang="en-US" altLang="zh-CN"/>
                      <a:t>12802 </a:t>
                    </a:r>
                    <a:endParaRPr lang="en-US" altLang="zh-CN"/>
                  </a:p>
                  <a:p>
                    <a:pPr>
                      <a:defRPr lang="zh-CN" sz="1000" b="0" i="0" u="none" strike="noStrike" kern="1200" baseline="0">
                        <a:solidFill>
                          <a:schemeClr val="tx1"/>
                        </a:solidFill>
                        <a:latin typeface="+mn-lt"/>
                        <a:ea typeface="+mn-ea"/>
                        <a:cs typeface="+mn-cs"/>
                      </a:defRPr>
                    </a:pPr>
                    <a:r>
                      <a:rPr lang="en-US" altLang="zh-CN"/>
                      <a:t>26%</a:t>
                    </a:r>
                    <a:endParaRPr lang="en-US" altLang="zh-CN"/>
                  </a:p>
                </c:rich>
              </c:tx>
              <c:dLblPos val="outEnd"/>
              <c:showLegendKey val="0"/>
              <c:showVal val="1"/>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企业所得税 </a:t>
                    </a:r>
                    <a:r>
                      <a:rPr lang="en-US" altLang="zh-CN"/>
                      <a:t>2148 </a:t>
                    </a:r>
                    <a:endParaRPr lang="en-US" altLang="zh-CN"/>
                  </a:p>
                  <a:p>
                    <a:pPr>
                      <a:defRPr lang="zh-CN" sz="1000" b="0" i="0" u="none" strike="noStrike" kern="1200" baseline="0">
                        <a:solidFill>
                          <a:schemeClr val="tx1"/>
                        </a:solidFill>
                        <a:latin typeface="+mn-lt"/>
                        <a:ea typeface="+mn-ea"/>
                        <a:cs typeface="+mn-cs"/>
                      </a:defRPr>
                    </a:pPr>
                    <a:r>
                      <a:rPr lang="en-US" altLang="zh-CN"/>
                      <a:t>8%</a:t>
                    </a:r>
                    <a:endParaRPr lang="zh-CN" altLang="en-US"/>
                  </a:p>
                </c:rich>
              </c:tx>
              <c:dLblPos val="outEnd"/>
              <c:showLegendKey val="0"/>
              <c:showVal val="1"/>
              <c:showCatName val="1"/>
              <c:showSerName val="0"/>
              <c:showPercent val="1"/>
              <c:showBubbleSize val="0"/>
              <c:separator> </c:separator>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其他税收 </a:t>
                    </a:r>
                    <a:r>
                      <a:rPr lang="en-US" altLang="zh-CN"/>
                      <a:t>10585 </a:t>
                    </a:r>
                    <a:endParaRPr lang="en-US" altLang="zh-CN"/>
                  </a:p>
                  <a:p>
                    <a:pPr>
                      <a:defRPr lang="zh-CN" sz="1000" b="0" i="0" u="none" strike="noStrike" kern="1200" baseline="0">
                        <a:solidFill>
                          <a:schemeClr val="tx1"/>
                        </a:solidFill>
                        <a:latin typeface="+mn-lt"/>
                        <a:ea typeface="+mn-ea"/>
                        <a:cs typeface="+mn-cs"/>
                      </a:defRPr>
                    </a:pPr>
                    <a:r>
                      <a:rPr lang="en-US" altLang="zh-CN"/>
                      <a:t>21%</a:t>
                    </a:r>
                    <a:endParaRPr lang="en-US" altLang="zh-CN"/>
                  </a:p>
                </c:rich>
              </c:tx>
              <c:dLblPos val="outEnd"/>
              <c:showLegendKey val="0"/>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Sheet1!$A$2:$A$5</c:f>
              <c:strCache>
                <c:ptCount val="4"/>
                <c:pt idx="0">
                  <c:v>非税收入</c:v>
                </c:pt>
                <c:pt idx="1">
                  <c:v>增值税</c:v>
                </c:pt>
                <c:pt idx="2">
                  <c:v>企业所得税</c:v>
                </c:pt>
                <c:pt idx="3">
                  <c:v>其他税收</c:v>
                </c:pt>
              </c:strCache>
            </c:strRef>
          </c:cat>
          <c:val>
            <c:numRef>
              <c:f>Sheet1!$B$2:$B$5</c:f>
              <c:numCache>
                <c:formatCode>General</c:formatCode>
                <c:ptCount val="4"/>
                <c:pt idx="0" c:formatCode="General">
                  <c:v>23988</c:v>
                </c:pt>
                <c:pt idx="1" c:formatCode="General">
                  <c:v>12802</c:v>
                </c:pt>
                <c:pt idx="2" c:formatCode="General">
                  <c:v>2148</c:v>
                </c:pt>
                <c:pt idx="3" c:formatCode="General">
                  <c:v>10585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图二：</a:t>
            </a:r>
            <a:r>
              <a:rPr lang="en-US" altLang="zh-CN" sz="1600"/>
              <a:t>2017</a:t>
            </a:r>
            <a:r>
              <a:rPr lang="zh-CN" altLang="en-US" sz="1600"/>
              <a:t>年地方一般公共预算支出对比图   （单位：万元）</a:t>
            </a:r>
            <a:endParaRPr lang="zh-CN" altLang="en-US" sz="1600"/>
          </a:p>
        </c:rich>
      </c:tx>
      <c:layout/>
      <c:overlay val="0"/>
    </c:title>
    <c:autoTitleDeleted val="0"/>
    <c:plotArea>
      <c:layout/>
      <c:barChart>
        <c:barDir val="col"/>
        <c:grouping val="clustered"/>
        <c:varyColors val="0"/>
        <c:ser>
          <c:idx val="0"/>
          <c:order val="0"/>
          <c:tx>
            <c:strRef>
              <c:f>Sheet1!$B$1</c:f>
              <c:strCache>
                <c:ptCount val="1"/>
                <c:pt idx="0">
                  <c:v>2016</c:v>
                </c:pt>
              </c:strCache>
            </c:strRef>
          </c:tx>
          <c:invertIfNegative val="0"/>
          <c:dLbls>
            <c:delete val="1"/>
          </c:dLbls>
          <c:cat>
            <c:strRef>
              <c:f>Sheet1!$A$2:$A$12</c:f>
              <c:strCache>
                <c:ptCount val="11"/>
                <c:pt idx="0">
                  <c:v>一般公共</c:v>
                </c:pt>
                <c:pt idx="1">
                  <c:v>公共安全</c:v>
                </c:pt>
                <c:pt idx="2">
                  <c:v>教育</c:v>
                </c:pt>
                <c:pt idx="3">
                  <c:v>社会保障</c:v>
                </c:pt>
                <c:pt idx="4">
                  <c:v>医疗卫生</c:v>
                </c:pt>
                <c:pt idx="5">
                  <c:v>节能环保</c:v>
                </c:pt>
                <c:pt idx="6">
                  <c:v>城乡社区</c:v>
                </c:pt>
                <c:pt idx="7">
                  <c:v>农林水</c:v>
                </c:pt>
                <c:pt idx="8">
                  <c:v>交通运输</c:v>
                </c:pt>
                <c:pt idx="9">
                  <c:v>住房保障</c:v>
                </c:pt>
                <c:pt idx="10">
                  <c:v>其他支出</c:v>
                </c:pt>
              </c:strCache>
            </c:strRef>
          </c:cat>
          <c:val>
            <c:numRef>
              <c:f>Sheet1!$B$2:$B$12</c:f>
              <c:numCache>
                <c:formatCode>General</c:formatCode>
                <c:ptCount val="11"/>
                <c:pt idx="0" c:formatCode="General">
                  <c:v>17898</c:v>
                </c:pt>
                <c:pt idx="1" c:formatCode="General">
                  <c:v>15044</c:v>
                </c:pt>
                <c:pt idx="2" c:formatCode="General">
                  <c:v>46589</c:v>
                </c:pt>
                <c:pt idx="3" c:formatCode="General">
                  <c:v>41456</c:v>
                </c:pt>
                <c:pt idx="4" c:formatCode="General">
                  <c:v>34395</c:v>
                </c:pt>
                <c:pt idx="5" c:formatCode="General">
                  <c:v>9822</c:v>
                </c:pt>
                <c:pt idx="6" c:formatCode="General">
                  <c:v>10850</c:v>
                </c:pt>
                <c:pt idx="7" c:formatCode="General">
                  <c:v>71177</c:v>
                </c:pt>
                <c:pt idx="8" c:formatCode="General">
                  <c:v>2062</c:v>
                </c:pt>
                <c:pt idx="9" c:formatCode="General">
                  <c:v>8336</c:v>
                </c:pt>
                <c:pt idx="10" c:formatCode="General">
                  <c:v>13501</c:v>
                </c:pt>
              </c:numCache>
            </c:numRef>
          </c:val>
        </c:ser>
        <c:ser>
          <c:idx val="1"/>
          <c:order val="1"/>
          <c:tx>
            <c:strRef>
              <c:f>Sheet1!$C$1</c:f>
              <c:strCache>
                <c:ptCount val="1"/>
                <c:pt idx="0">
                  <c:v>2017</c:v>
                </c:pt>
              </c:strCache>
            </c:strRef>
          </c:tx>
          <c:invertIfNegative val="0"/>
          <c:dLbls>
            <c:delete val="1"/>
          </c:dLbls>
          <c:cat>
            <c:strRef>
              <c:f>Sheet1!$A$2:$A$12</c:f>
              <c:strCache>
                <c:ptCount val="11"/>
                <c:pt idx="0">
                  <c:v>一般公共</c:v>
                </c:pt>
                <c:pt idx="1">
                  <c:v>公共安全</c:v>
                </c:pt>
                <c:pt idx="2">
                  <c:v>教育</c:v>
                </c:pt>
                <c:pt idx="3">
                  <c:v>社会保障</c:v>
                </c:pt>
                <c:pt idx="4">
                  <c:v>医疗卫生</c:v>
                </c:pt>
                <c:pt idx="5">
                  <c:v>节能环保</c:v>
                </c:pt>
                <c:pt idx="6">
                  <c:v>城乡社区</c:v>
                </c:pt>
                <c:pt idx="7">
                  <c:v>农林水</c:v>
                </c:pt>
                <c:pt idx="8">
                  <c:v>交通运输</c:v>
                </c:pt>
                <c:pt idx="9">
                  <c:v>住房保障</c:v>
                </c:pt>
                <c:pt idx="10">
                  <c:v>其他支出</c:v>
                </c:pt>
              </c:strCache>
            </c:strRef>
          </c:cat>
          <c:val>
            <c:numRef>
              <c:f>Sheet1!$C$2:$C$12</c:f>
              <c:numCache>
                <c:formatCode>General</c:formatCode>
                <c:ptCount val="11"/>
                <c:pt idx="0" c:formatCode="General">
                  <c:v>19573</c:v>
                </c:pt>
                <c:pt idx="1" c:formatCode="General">
                  <c:v>14685</c:v>
                </c:pt>
                <c:pt idx="2" c:formatCode="General">
                  <c:v>53310</c:v>
                </c:pt>
                <c:pt idx="3" c:formatCode="General">
                  <c:v>54977</c:v>
                </c:pt>
                <c:pt idx="4" c:formatCode="General">
                  <c:v>42719</c:v>
                </c:pt>
                <c:pt idx="5" c:formatCode="General">
                  <c:v>4137</c:v>
                </c:pt>
                <c:pt idx="6" c:formatCode="General">
                  <c:v>20948</c:v>
                </c:pt>
                <c:pt idx="7" c:formatCode="General">
                  <c:v>58192</c:v>
                </c:pt>
                <c:pt idx="8" c:formatCode="General">
                  <c:v>5822</c:v>
                </c:pt>
                <c:pt idx="9" c:formatCode="General">
                  <c:v>7488</c:v>
                </c:pt>
                <c:pt idx="10" c:formatCode="General">
                  <c:v>17414</c:v>
                </c:pt>
              </c:numCache>
            </c:numRef>
          </c:val>
        </c:ser>
        <c:dLbls>
          <c:showLegendKey val="0"/>
          <c:showVal val="0"/>
          <c:showCatName val="0"/>
          <c:showSerName val="0"/>
          <c:showPercent val="0"/>
          <c:showBubbleSize val="0"/>
        </c:dLbls>
        <c:gapWidth val="150"/>
        <c:axId val="291591680"/>
        <c:axId val="291593216"/>
      </c:barChart>
      <c:catAx>
        <c:axId val="2915916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91593216"/>
        <c:crosses val="autoZero"/>
        <c:auto val="0"/>
        <c:lblAlgn val="ctr"/>
        <c:lblOffset val="100"/>
        <c:noMultiLvlLbl val="0"/>
      </c:catAx>
      <c:valAx>
        <c:axId val="2915932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91591680"/>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1049</Words>
  <Characters>5982</Characters>
  <Lines>49</Lines>
  <Paragraphs>14</Paragraphs>
  <ScaleCrop>false</ScaleCrop>
  <LinksUpToDate>false</LinksUpToDate>
  <CharactersWithSpaces>7017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2018-01-12T03:05:00Z</cp:lastPrinted>
  <dcterms:modified xsi:type="dcterms:W3CDTF">2018-03-02T03:29:56Z</dcterms:modified>
  <cp:revision>322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