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AE" w:rsidRDefault="00795C9B">
      <w:pPr>
        <w:pStyle w:val="a3"/>
        <w:widowControl/>
        <w:wordWrap w:val="0"/>
        <w:spacing w:line="560" w:lineRule="atLeast"/>
        <w:jc w:val="center"/>
      </w:pPr>
      <w:bookmarkStart w:id="0" w:name="OLE_LINK2"/>
      <w:r>
        <w:rPr>
          <w:rFonts w:ascii="方正小标宋简体" w:eastAsia="方正小标宋简体" w:hAnsi="方正小标宋简体" w:cs="方正小标宋简体"/>
          <w:color w:val="333333"/>
          <w:sz w:val="40"/>
          <w:szCs w:val="40"/>
          <w:shd w:val="clear" w:color="auto" w:fill="FFFFFF"/>
        </w:rPr>
        <w:t>财政部</w:t>
      </w:r>
      <w:r>
        <w:rPr>
          <w:rFonts w:ascii="方正小标宋简体" w:eastAsia="方正小标宋简体" w:hAnsi="方正小标宋简体" w:cs="方正小标宋简体"/>
          <w:color w:val="333333"/>
          <w:sz w:val="40"/>
          <w:szCs w:val="40"/>
          <w:shd w:val="clear" w:color="auto" w:fill="FFFFFF"/>
        </w:rPr>
        <w:t> </w:t>
      </w:r>
      <w:r>
        <w:rPr>
          <w:rFonts w:ascii="方正小标宋简体" w:eastAsia="方正小标宋简体" w:hAnsi="方正小标宋简体" w:cs="方正小标宋简体"/>
          <w:color w:val="333333"/>
          <w:sz w:val="40"/>
          <w:szCs w:val="40"/>
          <w:shd w:val="clear" w:color="auto" w:fill="FFFFFF"/>
        </w:rPr>
        <w:t>税务总局关于金融机构小</w:t>
      </w:r>
      <w:proofErr w:type="gramStart"/>
      <w:r>
        <w:rPr>
          <w:rFonts w:ascii="方正小标宋简体" w:eastAsia="方正小标宋简体" w:hAnsi="方正小标宋简体" w:cs="方正小标宋简体"/>
          <w:color w:val="333333"/>
          <w:sz w:val="40"/>
          <w:szCs w:val="40"/>
          <w:shd w:val="clear" w:color="auto" w:fill="FFFFFF"/>
        </w:rPr>
        <w:t>微企业</w:t>
      </w:r>
      <w:proofErr w:type="gramEnd"/>
      <w:r>
        <w:rPr>
          <w:rFonts w:ascii="方正小标宋简体" w:eastAsia="方正小标宋简体" w:hAnsi="方正小标宋简体" w:cs="方正小标宋简体"/>
          <w:color w:val="333333"/>
          <w:sz w:val="40"/>
          <w:szCs w:val="40"/>
          <w:shd w:val="clear" w:color="auto" w:fill="FFFFFF"/>
        </w:rPr>
        <w:t>贷款利息收入免征增值税政策的通知</w:t>
      </w:r>
    </w:p>
    <w:p w:rsidR="00FE3BAE" w:rsidRDefault="00795C9B">
      <w:pPr>
        <w:pStyle w:val="a3"/>
        <w:widowControl/>
        <w:wordWrap w:val="0"/>
        <w:spacing w:line="560" w:lineRule="atLeast"/>
        <w:jc w:val="center"/>
      </w:pPr>
      <w:bookmarkStart w:id="1" w:name="OLE_LINK1"/>
      <w:bookmarkEnd w:id="0"/>
      <w:r>
        <w:rPr>
          <w:rFonts w:ascii="仿宋_GB2312" w:eastAsia="仿宋_GB2312" w:hAnsi="方正小标宋简体" w:cs="仿宋_GB2312"/>
          <w:color w:val="333333"/>
          <w:sz w:val="30"/>
          <w:szCs w:val="30"/>
          <w:shd w:val="clear" w:color="auto" w:fill="FFFFFF"/>
        </w:rPr>
        <w:t>财税〔</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91</w:t>
      </w:r>
      <w:r>
        <w:rPr>
          <w:rFonts w:ascii="仿宋_GB2312" w:eastAsia="仿宋_GB2312" w:hAnsi="方正小标宋简体" w:cs="仿宋_GB2312"/>
          <w:color w:val="333333"/>
          <w:sz w:val="30"/>
          <w:szCs w:val="30"/>
          <w:shd w:val="clear" w:color="auto" w:fill="FFFFFF"/>
        </w:rPr>
        <w:t>号</w:t>
      </w:r>
      <w:bookmarkEnd w:id="1"/>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jc w:val="center"/>
      </w:pP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各省、自治区、直辖市、计划单列市财政厅（局），国家税务总局各省、自治区、直辖市、计划单列市税务局，新疆生产建设兵团财政局：</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为进一步加大对小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的支持力度，现将金融机构小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贷款利息收入免征增值税政策通知如下：</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一、自</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1</w:t>
      </w:r>
      <w:r>
        <w:rPr>
          <w:rFonts w:ascii="仿宋_GB2312" w:eastAsia="仿宋_GB2312" w:hAnsi="方正小标宋简体" w:cs="仿宋_GB2312"/>
          <w:color w:val="333333"/>
          <w:sz w:val="30"/>
          <w:szCs w:val="30"/>
          <w:shd w:val="clear" w:color="auto" w:fill="FFFFFF"/>
        </w:rPr>
        <w:t>日至</w:t>
      </w:r>
      <w:r>
        <w:rPr>
          <w:rFonts w:ascii="仿宋_GB2312" w:eastAsia="仿宋_GB2312" w:hAnsi="方正小标宋简体" w:cs="仿宋_GB2312"/>
          <w:color w:val="333333"/>
          <w:sz w:val="30"/>
          <w:szCs w:val="30"/>
          <w:shd w:val="clear" w:color="auto" w:fill="FFFFFF"/>
        </w:rPr>
        <w:t>2020</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12</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31</w:t>
      </w:r>
      <w:r>
        <w:rPr>
          <w:rFonts w:ascii="仿宋_GB2312" w:eastAsia="仿宋_GB2312" w:hAnsi="方正小标宋简体" w:cs="仿宋_GB2312"/>
          <w:color w:val="333333"/>
          <w:sz w:val="30"/>
          <w:szCs w:val="30"/>
          <w:shd w:val="clear" w:color="auto" w:fill="FFFFFF"/>
        </w:rPr>
        <w:t>日，对金融机构向小型企业、微型企业和个体工商户发放小额贷款取得的利息收入，免征增值税。金融机构可以选择以下两种方法之一适用免税：</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（一）对金融机构向小型企业、微型企业和个体工商户发放的，利率水平不高于人民银行同期贷款基准利率</w:t>
      </w:r>
      <w:r>
        <w:rPr>
          <w:rFonts w:ascii="仿宋_GB2312" w:eastAsia="仿宋_GB2312" w:hAnsi="方正小标宋简体" w:cs="仿宋_GB2312"/>
          <w:color w:val="333333"/>
          <w:sz w:val="30"/>
          <w:szCs w:val="30"/>
          <w:shd w:val="clear" w:color="auto" w:fill="FFFFFF"/>
        </w:rPr>
        <w:t>150%</w:t>
      </w:r>
      <w:r>
        <w:rPr>
          <w:rFonts w:ascii="仿宋_GB2312" w:eastAsia="仿宋_GB2312" w:hAnsi="方正小标宋简体" w:cs="仿宋_GB2312"/>
          <w:color w:val="333333"/>
          <w:sz w:val="30"/>
          <w:szCs w:val="30"/>
          <w:shd w:val="clear" w:color="auto" w:fill="FFFFFF"/>
        </w:rPr>
        <w:t>（含本数）的单笔小额贷款取得的利息收入，免征增值税；高于人民银行同期贷款基准利率</w:t>
      </w:r>
      <w:r>
        <w:rPr>
          <w:rFonts w:ascii="仿宋_GB2312" w:eastAsia="仿宋_GB2312" w:hAnsi="方正小标宋简体" w:cs="仿宋_GB2312"/>
          <w:color w:val="333333"/>
          <w:sz w:val="30"/>
          <w:szCs w:val="30"/>
          <w:shd w:val="clear" w:color="auto" w:fill="FFFFFF"/>
        </w:rPr>
        <w:t>150%</w:t>
      </w:r>
      <w:r>
        <w:rPr>
          <w:rFonts w:ascii="仿宋_GB2312" w:eastAsia="仿宋_GB2312" w:hAnsi="方正小标宋简体" w:cs="仿宋_GB2312"/>
          <w:color w:val="333333"/>
          <w:sz w:val="30"/>
          <w:szCs w:val="30"/>
          <w:shd w:val="clear" w:color="auto" w:fill="FFFFFF"/>
        </w:rPr>
        <w:t>的单笔小额贷款取得的利息收入，按照现行政策规定缴纳增值税。</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（二）对金融机构向小型企业、微型企业和个体工商户发放单笔小额贷款取得的利息收入中，不高于该笔贷款按照人民银行同期贷款基准利率</w:t>
      </w:r>
      <w:r>
        <w:rPr>
          <w:rFonts w:ascii="仿宋_GB2312" w:eastAsia="仿宋_GB2312" w:hAnsi="方正小标宋简体" w:cs="仿宋_GB2312"/>
          <w:color w:val="333333"/>
          <w:sz w:val="30"/>
          <w:szCs w:val="30"/>
          <w:shd w:val="clear" w:color="auto" w:fill="FFFFFF"/>
        </w:rPr>
        <w:t>150%</w:t>
      </w:r>
      <w:r>
        <w:rPr>
          <w:rFonts w:ascii="仿宋_GB2312" w:eastAsia="仿宋_GB2312" w:hAnsi="方正小标宋简体" w:cs="仿宋_GB2312"/>
          <w:color w:val="333333"/>
          <w:sz w:val="30"/>
          <w:szCs w:val="30"/>
          <w:shd w:val="clear" w:color="auto" w:fill="FFFFFF"/>
        </w:rPr>
        <w:t>（含本数）计算的利息收入部分，免征增值税；超过部分按照现行政策规定缴纳增值税。</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lastRenderedPageBreak/>
        <w:t xml:space="preserve">　　金融机构可按会计年度在以上两种方法</w:t>
      </w:r>
      <w:r>
        <w:rPr>
          <w:rFonts w:ascii="仿宋_GB2312" w:eastAsia="仿宋_GB2312" w:hAnsi="方正小标宋简体" w:cs="仿宋_GB2312"/>
          <w:color w:val="333333"/>
          <w:sz w:val="30"/>
          <w:szCs w:val="30"/>
          <w:shd w:val="clear" w:color="auto" w:fill="FFFFFF"/>
        </w:rPr>
        <w:t>之间选定其一作为该年的免税适用方法，一经选定</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该会计年度内不得变更。</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二、本通知所称金融机构，是指经人民银行、银保监会批准成立的已通过监管部门上一年度</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两增两控</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考核的机构（</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年通过考核的机构名单以</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年上半年实现</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两增两控</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目标为准），以及经人民银行、银保监会、证监会批准成立的开发银行及政策性银行、外资银行和非银行业金融机构。</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两增两控</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是指</w:t>
      </w:r>
      <w:proofErr w:type="gramStart"/>
      <w:r>
        <w:rPr>
          <w:rFonts w:ascii="仿宋_GB2312" w:eastAsia="仿宋_GB2312" w:hAnsi="方正小标宋简体" w:cs="仿宋_GB2312"/>
          <w:color w:val="333333"/>
          <w:sz w:val="30"/>
          <w:szCs w:val="30"/>
          <w:shd w:val="clear" w:color="auto" w:fill="FFFFFF"/>
        </w:rPr>
        <w:t>单户授信</w:t>
      </w:r>
      <w:proofErr w:type="gramEnd"/>
      <w:r>
        <w:rPr>
          <w:rFonts w:ascii="仿宋_GB2312" w:eastAsia="仿宋_GB2312" w:hAnsi="方正小标宋简体" w:cs="仿宋_GB2312"/>
          <w:color w:val="333333"/>
          <w:sz w:val="30"/>
          <w:szCs w:val="30"/>
          <w:shd w:val="clear" w:color="auto" w:fill="FFFFFF"/>
        </w:rPr>
        <w:t>总额</w:t>
      </w:r>
      <w:r>
        <w:rPr>
          <w:rFonts w:ascii="仿宋_GB2312" w:eastAsia="仿宋_GB2312" w:hAnsi="方正小标宋简体" w:cs="仿宋_GB2312"/>
          <w:color w:val="333333"/>
          <w:sz w:val="30"/>
          <w:szCs w:val="30"/>
          <w:shd w:val="clear" w:color="auto" w:fill="FFFFFF"/>
        </w:rPr>
        <w:t>1000</w:t>
      </w:r>
      <w:r>
        <w:rPr>
          <w:rFonts w:ascii="仿宋_GB2312" w:eastAsia="仿宋_GB2312" w:hAnsi="方正小标宋简体" w:cs="仿宋_GB2312"/>
          <w:color w:val="333333"/>
          <w:sz w:val="30"/>
          <w:szCs w:val="30"/>
          <w:shd w:val="clear" w:color="auto" w:fill="FFFFFF"/>
        </w:rPr>
        <w:t>万元以下（含）小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贷款同比增速不低于各项贷款同比增速，有贷款余额的户数不低于上年同期水平，合理控制小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贷款资产质量水平和贷</w:t>
      </w:r>
      <w:r>
        <w:rPr>
          <w:rFonts w:ascii="仿宋_GB2312" w:eastAsia="仿宋_GB2312" w:hAnsi="方正小标宋简体" w:cs="仿宋_GB2312"/>
          <w:color w:val="333333"/>
          <w:sz w:val="30"/>
          <w:szCs w:val="30"/>
          <w:shd w:val="clear" w:color="auto" w:fill="FFFFFF"/>
        </w:rPr>
        <w:t>款综合成本（包括利率和贷款相关的银行服务收费）水平。金融机构完成</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两增两控</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情况，以银保监会及其派出机构考核结果为准。</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三、本通知所称小型企业、微型企业，是指符合《中小企业划型标准规定》（工信部联企业〔</w:t>
      </w:r>
      <w:r>
        <w:rPr>
          <w:rFonts w:ascii="仿宋_GB2312" w:eastAsia="仿宋_GB2312" w:hAnsi="方正小标宋简体" w:cs="仿宋_GB2312"/>
          <w:color w:val="333333"/>
          <w:sz w:val="30"/>
          <w:szCs w:val="30"/>
          <w:shd w:val="clear" w:color="auto" w:fill="FFFFFF"/>
        </w:rPr>
        <w:t>2011</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300</w:t>
      </w:r>
      <w:r>
        <w:rPr>
          <w:rFonts w:ascii="仿宋_GB2312" w:eastAsia="仿宋_GB2312" w:hAnsi="方正小标宋简体" w:cs="仿宋_GB2312"/>
          <w:color w:val="333333"/>
          <w:sz w:val="30"/>
          <w:szCs w:val="30"/>
          <w:shd w:val="clear" w:color="auto" w:fill="FFFFFF"/>
        </w:rPr>
        <w:t>号）的小型企业和微型企业。其中，资产总额和从业人员指标均以贷款发放时的实际状态确定；营业收入指标以贷款发放前</w:t>
      </w:r>
      <w:r>
        <w:rPr>
          <w:rFonts w:ascii="仿宋_GB2312" w:eastAsia="仿宋_GB2312" w:hAnsi="方正小标宋简体" w:cs="仿宋_GB2312"/>
          <w:color w:val="333333"/>
          <w:sz w:val="30"/>
          <w:szCs w:val="30"/>
          <w:shd w:val="clear" w:color="auto" w:fill="FFFFFF"/>
        </w:rPr>
        <w:t>12</w:t>
      </w:r>
      <w:r>
        <w:rPr>
          <w:rFonts w:ascii="仿宋_GB2312" w:eastAsia="仿宋_GB2312" w:hAnsi="方正小标宋简体" w:cs="仿宋_GB2312"/>
          <w:color w:val="333333"/>
          <w:sz w:val="30"/>
          <w:szCs w:val="30"/>
          <w:shd w:val="clear" w:color="auto" w:fill="FFFFFF"/>
        </w:rPr>
        <w:t>个自然月的累计数确定，不满</w:t>
      </w:r>
      <w:r>
        <w:rPr>
          <w:rFonts w:ascii="仿宋_GB2312" w:eastAsia="仿宋_GB2312" w:hAnsi="方正小标宋简体" w:cs="仿宋_GB2312"/>
          <w:color w:val="333333"/>
          <w:sz w:val="30"/>
          <w:szCs w:val="30"/>
          <w:shd w:val="clear" w:color="auto" w:fill="FFFFFF"/>
        </w:rPr>
        <w:t>12</w:t>
      </w:r>
      <w:r>
        <w:rPr>
          <w:rFonts w:ascii="仿宋_GB2312" w:eastAsia="仿宋_GB2312" w:hAnsi="方正小标宋简体" w:cs="仿宋_GB2312"/>
          <w:color w:val="333333"/>
          <w:sz w:val="30"/>
          <w:szCs w:val="30"/>
          <w:shd w:val="clear" w:color="auto" w:fill="FFFFFF"/>
        </w:rPr>
        <w:t>个自然月的，按照以下公式计算：</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营业收入（年）</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企业实际存续期间营业收入</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企业实际存续月数</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12</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四、本通知所称小额贷款，是指</w:t>
      </w:r>
      <w:proofErr w:type="gramStart"/>
      <w:r>
        <w:rPr>
          <w:rFonts w:ascii="仿宋_GB2312" w:eastAsia="仿宋_GB2312" w:hAnsi="方正小标宋简体" w:cs="仿宋_GB2312"/>
          <w:color w:val="333333"/>
          <w:sz w:val="30"/>
          <w:szCs w:val="30"/>
          <w:shd w:val="clear" w:color="auto" w:fill="FFFFFF"/>
        </w:rPr>
        <w:t>单户授信</w:t>
      </w:r>
      <w:proofErr w:type="gramEnd"/>
      <w:r>
        <w:rPr>
          <w:rFonts w:ascii="仿宋_GB2312" w:eastAsia="仿宋_GB2312" w:hAnsi="方正小标宋简体" w:cs="仿宋_GB2312"/>
          <w:color w:val="333333"/>
          <w:sz w:val="30"/>
          <w:szCs w:val="30"/>
          <w:shd w:val="clear" w:color="auto" w:fill="FFFFFF"/>
        </w:rPr>
        <w:t>小于</w:t>
      </w:r>
      <w:r>
        <w:rPr>
          <w:rFonts w:ascii="仿宋_GB2312" w:eastAsia="仿宋_GB2312" w:hAnsi="方正小标宋简体" w:cs="仿宋_GB2312"/>
          <w:color w:val="333333"/>
          <w:sz w:val="30"/>
          <w:szCs w:val="30"/>
          <w:shd w:val="clear" w:color="auto" w:fill="FFFFFF"/>
        </w:rPr>
        <w:t>1000</w:t>
      </w:r>
      <w:r>
        <w:rPr>
          <w:rFonts w:ascii="仿宋_GB2312" w:eastAsia="仿宋_GB2312" w:hAnsi="方正小标宋简体" w:cs="仿宋_GB2312"/>
          <w:color w:val="333333"/>
          <w:sz w:val="30"/>
          <w:szCs w:val="30"/>
          <w:shd w:val="clear" w:color="auto" w:fill="FFFFFF"/>
        </w:rPr>
        <w:t>万元（含本数）的小型企业、微型企业或个体工商户贷款；没有授信额度</w:t>
      </w:r>
      <w:r>
        <w:rPr>
          <w:rFonts w:ascii="仿宋_GB2312" w:eastAsia="仿宋_GB2312" w:hAnsi="方正小标宋简体" w:cs="仿宋_GB2312"/>
          <w:color w:val="333333"/>
          <w:sz w:val="30"/>
          <w:szCs w:val="30"/>
          <w:shd w:val="clear" w:color="auto" w:fill="FFFFFF"/>
        </w:rPr>
        <w:lastRenderedPageBreak/>
        <w:t>的，是指单户贷款合同金额且贷款余额在</w:t>
      </w:r>
      <w:r>
        <w:rPr>
          <w:rFonts w:ascii="仿宋_GB2312" w:eastAsia="仿宋_GB2312" w:hAnsi="方正小标宋简体" w:cs="仿宋_GB2312"/>
          <w:color w:val="333333"/>
          <w:sz w:val="30"/>
          <w:szCs w:val="30"/>
          <w:shd w:val="clear" w:color="auto" w:fill="FFFFFF"/>
        </w:rPr>
        <w:t>1000</w:t>
      </w:r>
      <w:r>
        <w:rPr>
          <w:rFonts w:ascii="仿宋_GB2312" w:eastAsia="仿宋_GB2312" w:hAnsi="方正小标宋简体" w:cs="仿宋_GB2312"/>
          <w:color w:val="333333"/>
          <w:sz w:val="30"/>
          <w:szCs w:val="30"/>
          <w:shd w:val="clear" w:color="auto" w:fill="FFFFFF"/>
        </w:rPr>
        <w:t>万元（含本数）以下的贷款。</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五、金融机构应将相关免税证明材料留存备查，单独核算符合免税条件的小额贷款利息收入，按现行规定向主管税务机构办理纳税申报；未单独核算的，不得免征增值税。</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金融机构应依法依规享受增值税优惠政策，一经发现存在虚报或造假骗取本项税收优惠情形的，停止享受本通知有关增值税优惠政策。</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金融机构应持续跟踪贷款投向，确保贷款资金真正流向小型企业、微型企业和个体工</w:t>
      </w:r>
      <w:r>
        <w:rPr>
          <w:rFonts w:ascii="仿宋_GB2312" w:eastAsia="仿宋_GB2312" w:hAnsi="方正小标宋简体" w:cs="仿宋_GB2312"/>
          <w:color w:val="333333"/>
          <w:sz w:val="30"/>
          <w:szCs w:val="30"/>
          <w:shd w:val="clear" w:color="auto" w:fill="FFFFFF"/>
        </w:rPr>
        <w:t>商户，贷款的实际使用主体与申请主体一致。</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六、银保监会按年组织开展免税政策执行情况督察，并将督察结果及时通报财税主管部门。鼓励金融机构发放小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信用贷款，减少抵押担保的中间环节，切实有效降低小</w:t>
      </w:r>
      <w:proofErr w:type="gramStart"/>
      <w:r>
        <w:rPr>
          <w:rFonts w:ascii="仿宋_GB2312" w:eastAsia="仿宋_GB2312" w:hAnsi="方正小标宋简体" w:cs="仿宋_GB2312"/>
          <w:color w:val="333333"/>
          <w:sz w:val="30"/>
          <w:szCs w:val="30"/>
          <w:shd w:val="clear" w:color="auto" w:fill="FFFFFF"/>
        </w:rPr>
        <w:t>微企业</w:t>
      </w:r>
      <w:proofErr w:type="gramEnd"/>
      <w:r>
        <w:rPr>
          <w:rFonts w:ascii="仿宋_GB2312" w:eastAsia="仿宋_GB2312" w:hAnsi="方正小标宋简体" w:cs="仿宋_GB2312"/>
          <w:color w:val="333333"/>
          <w:sz w:val="30"/>
          <w:szCs w:val="30"/>
          <w:shd w:val="clear" w:color="auto" w:fill="FFFFFF"/>
        </w:rPr>
        <w:t>综合融资成本。</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各地税务部门要加强免税政策执行情况后续管理，对金融机构开展小</w:t>
      </w:r>
      <w:proofErr w:type="gramStart"/>
      <w:r>
        <w:rPr>
          <w:rFonts w:ascii="仿宋_GB2312" w:eastAsia="仿宋_GB2312" w:hAnsi="方正小标宋简体" w:cs="仿宋_GB2312"/>
          <w:color w:val="333333"/>
          <w:sz w:val="30"/>
          <w:szCs w:val="30"/>
          <w:shd w:val="clear" w:color="auto" w:fill="FFFFFF"/>
        </w:rPr>
        <w:t>微金融</w:t>
      </w:r>
      <w:proofErr w:type="gramEnd"/>
      <w:r>
        <w:rPr>
          <w:rFonts w:ascii="仿宋_GB2312" w:eastAsia="仿宋_GB2312" w:hAnsi="方正小标宋简体" w:cs="仿宋_GB2312"/>
          <w:color w:val="333333"/>
          <w:sz w:val="30"/>
          <w:szCs w:val="30"/>
          <w:shd w:val="clear" w:color="auto" w:fill="FFFFFF"/>
        </w:rPr>
        <w:t>免税政策专项检查，发现问题的，按照现行税收法律法规进行处理，并将有关情况逐级上报国家税务总局（货物和劳务税司）。</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财政部驻各地财政监察专员办要组织开展免税政策执行情况专项检查。</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lastRenderedPageBreak/>
        <w:t xml:space="preserve">　　七、金融机构向小型企业、微型</w:t>
      </w:r>
      <w:r>
        <w:rPr>
          <w:rFonts w:ascii="仿宋_GB2312" w:eastAsia="仿宋_GB2312" w:hAnsi="方正小标宋简体" w:cs="仿宋_GB2312"/>
          <w:color w:val="333333"/>
          <w:sz w:val="30"/>
          <w:szCs w:val="30"/>
          <w:shd w:val="clear" w:color="auto" w:fill="FFFFFF"/>
        </w:rPr>
        <w:t>企业及个体工商户发放</w:t>
      </w:r>
      <w:proofErr w:type="gramStart"/>
      <w:r>
        <w:rPr>
          <w:rFonts w:ascii="仿宋_GB2312" w:eastAsia="仿宋_GB2312" w:hAnsi="方正小标宋简体" w:cs="仿宋_GB2312"/>
          <w:color w:val="333333"/>
          <w:sz w:val="30"/>
          <w:szCs w:val="30"/>
          <w:shd w:val="clear" w:color="auto" w:fill="FFFFFF"/>
        </w:rPr>
        <w:t>单户授信</w:t>
      </w:r>
      <w:proofErr w:type="gramEnd"/>
      <w:r>
        <w:rPr>
          <w:rFonts w:ascii="仿宋_GB2312" w:eastAsia="仿宋_GB2312" w:hAnsi="方正小标宋简体" w:cs="仿宋_GB2312"/>
          <w:color w:val="333333"/>
          <w:sz w:val="30"/>
          <w:szCs w:val="30"/>
          <w:shd w:val="clear" w:color="auto" w:fill="FFFFFF"/>
        </w:rPr>
        <w:t>小于</w:t>
      </w:r>
      <w:r>
        <w:rPr>
          <w:rFonts w:ascii="仿宋_GB2312" w:eastAsia="仿宋_GB2312" w:hAnsi="方正小标宋简体" w:cs="仿宋_GB2312"/>
          <w:color w:val="333333"/>
          <w:sz w:val="30"/>
          <w:szCs w:val="30"/>
          <w:shd w:val="clear" w:color="auto" w:fill="FFFFFF"/>
        </w:rPr>
        <w:t>100</w:t>
      </w:r>
      <w:r>
        <w:rPr>
          <w:rFonts w:ascii="仿宋_GB2312" w:eastAsia="仿宋_GB2312" w:hAnsi="方正小标宋简体" w:cs="仿宋_GB2312"/>
          <w:color w:val="333333"/>
          <w:sz w:val="30"/>
          <w:szCs w:val="30"/>
          <w:shd w:val="clear" w:color="auto" w:fill="FFFFFF"/>
        </w:rPr>
        <w:t>万元（含本数），或者没有授信额度，单户贷款合同金额且贷款余额在</w:t>
      </w:r>
      <w:r>
        <w:rPr>
          <w:rFonts w:ascii="仿宋_GB2312" w:eastAsia="仿宋_GB2312" w:hAnsi="方正小标宋简体" w:cs="仿宋_GB2312"/>
          <w:color w:val="333333"/>
          <w:sz w:val="30"/>
          <w:szCs w:val="30"/>
          <w:shd w:val="clear" w:color="auto" w:fill="FFFFFF"/>
        </w:rPr>
        <w:t>100</w:t>
      </w:r>
      <w:r>
        <w:rPr>
          <w:rFonts w:ascii="仿宋_GB2312" w:eastAsia="仿宋_GB2312" w:hAnsi="方正小标宋简体" w:cs="仿宋_GB2312"/>
          <w:color w:val="333333"/>
          <w:sz w:val="30"/>
          <w:szCs w:val="30"/>
          <w:shd w:val="clear" w:color="auto" w:fill="FFFFFF"/>
        </w:rPr>
        <w:t>万元（含本数）以下的贷款取得的利息收入，可继续按照《财政部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税务总局关于支持小微企业融资有关税收政策的通知》（财税〔</w:t>
      </w:r>
      <w:r>
        <w:rPr>
          <w:rFonts w:ascii="仿宋_GB2312" w:eastAsia="仿宋_GB2312" w:hAnsi="方正小标宋简体" w:cs="仿宋_GB2312"/>
          <w:color w:val="333333"/>
          <w:sz w:val="30"/>
          <w:szCs w:val="30"/>
          <w:shd w:val="clear" w:color="auto" w:fill="FFFFFF"/>
        </w:rPr>
        <w:t>2017</w:t>
      </w:r>
      <w:r>
        <w:rPr>
          <w:rFonts w:ascii="仿宋_GB2312" w:eastAsia="仿宋_GB2312" w:hAnsi="方正小标宋简体" w:cs="仿宋_GB2312"/>
          <w:color w:val="333333"/>
          <w:sz w:val="30"/>
          <w:szCs w:val="30"/>
          <w:shd w:val="clear" w:color="auto" w:fill="FFFFFF"/>
        </w:rPr>
        <w:t>〕</w:t>
      </w:r>
      <w:r>
        <w:rPr>
          <w:rFonts w:ascii="仿宋_GB2312" w:eastAsia="仿宋_GB2312" w:hAnsi="方正小标宋简体" w:cs="仿宋_GB2312"/>
          <w:color w:val="333333"/>
          <w:sz w:val="30"/>
          <w:szCs w:val="30"/>
          <w:shd w:val="clear" w:color="auto" w:fill="FFFFFF"/>
        </w:rPr>
        <w:t>77</w:t>
      </w:r>
      <w:r>
        <w:rPr>
          <w:rFonts w:ascii="仿宋_GB2312" w:eastAsia="仿宋_GB2312" w:hAnsi="方正小标宋简体" w:cs="仿宋_GB2312"/>
          <w:color w:val="333333"/>
          <w:sz w:val="30"/>
          <w:szCs w:val="30"/>
          <w:shd w:val="clear" w:color="auto" w:fill="FFFFFF"/>
        </w:rPr>
        <w:t>号）的规定免征增值税。</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jc w:val="righ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r>
        <w:rPr>
          <w:rFonts w:ascii="仿宋_GB2312" w:eastAsia="仿宋_GB2312" w:hAnsi="方正小标宋简体" w:cs="仿宋_GB2312"/>
          <w:color w:val="333333"/>
          <w:sz w:val="30"/>
          <w:szCs w:val="30"/>
          <w:shd w:val="clear" w:color="auto" w:fill="FFFFFF"/>
        </w:rPr>
        <w:t> </w:t>
      </w:r>
    </w:p>
    <w:p w:rsidR="00FE3BAE" w:rsidRDefault="00795C9B">
      <w:pPr>
        <w:pStyle w:val="a3"/>
        <w:widowControl/>
        <w:wordWrap w:val="0"/>
        <w:spacing w:line="560" w:lineRule="atLeast"/>
        <w:jc w:val="right"/>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9</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5</w:t>
      </w:r>
      <w:r>
        <w:rPr>
          <w:rFonts w:ascii="仿宋_GB2312" w:eastAsia="仿宋_GB2312" w:hAnsi="方正小标宋简体" w:cs="仿宋_GB2312"/>
          <w:color w:val="333333"/>
          <w:sz w:val="30"/>
          <w:szCs w:val="30"/>
          <w:shd w:val="clear" w:color="auto" w:fill="FFFFFF"/>
        </w:rPr>
        <w:t>日</w:t>
      </w:r>
      <w:r>
        <w:rPr>
          <w:rFonts w:ascii="仿宋_GB2312" w:eastAsia="仿宋_GB2312" w:hAnsi="方正小标宋简体" w:cs="仿宋_GB2312"/>
          <w:color w:val="333333"/>
          <w:sz w:val="30"/>
          <w:szCs w:val="30"/>
          <w:shd w:val="clear" w:color="auto" w:fill="FFFFFF"/>
        </w:rPr>
        <w:t> </w:t>
      </w:r>
    </w:p>
    <w:p w:rsidR="00FE3BAE" w:rsidRDefault="00FE3BAE">
      <w:bookmarkStart w:id="2" w:name="_GoBack"/>
      <w:bookmarkEnd w:id="2"/>
    </w:p>
    <w:sectPr w:rsidR="00FE3BAE" w:rsidSect="00FE3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9B" w:rsidRDefault="00795C9B" w:rsidP="001220C0">
      <w:r>
        <w:separator/>
      </w:r>
    </w:p>
  </w:endnote>
  <w:endnote w:type="continuationSeparator" w:id="0">
    <w:p w:rsidR="00795C9B" w:rsidRDefault="00795C9B" w:rsidP="00122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9B" w:rsidRDefault="00795C9B" w:rsidP="001220C0">
      <w:r>
        <w:separator/>
      </w:r>
    </w:p>
  </w:footnote>
  <w:footnote w:type="continuationSeparator" w:id="0">
    <w:p w:rsidR="00795C9B" w:rsidRDefault="00795C9B" w:rsidP="00122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0090C6F"/>
    <w:rsid w:val="001220C0"/>
    <w:rsid w:val="00795C9B"/>
    <w:rsid w:val="00FE3BAE"/>
    <w:rsid w:val="30090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B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3BAE"/>
    <w:rPr>
      <w:sz w:val="24"/>
    </w:rPr>
  </w:style>
  <w:style w:type="paragraph" w:styleId="a4">
    <w:name w:val="header"/>
    <w:basedOn w:val="a"/>
    <w:link w:val="Char"/>
    <w:rsid w:val="00122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220C0"/>
    <w:rPr>
      <w:rFonts w:asciiTheme="minorHAnsi" w:eastAsiaTheme="minorEastAsia" w:hAnsiTheme="minorHAnsi" w:cstheme="minorBidi"/>
      <w:kern w:val="2"/>
      <w:sz w:val="18"/>
      <w:szCs w:val="18"/>
    </w:rPr>
  </w:style>
  <w:style w:type="paragraph" w:styleId="a5">
    <w:name w:val="footer"/>
    <w:basedOn w:val="a"/>
    <w:link w:val="Char0"/>
    <w:rsid w:val="001220C0"/>
    <w:pPr>
      <w:tabs>
        <w:tab w:val="center" w:pos="4153"/>
        <w:tab w:val="right" w:pos="8306"/>
      </w:tabs>
      <w:snapToGrid w:val="0"/>
      <w:jc w:val="left"/>
    </w:pPr>
    <w:rPr>
      <w:sz w:val="18"/>
      <w:szCs w:val="18"/>
    </w:rPr>
  </w:style>
  <w:style w:type="character" w:customStyle="1" w:styleId="Char0">
    <w:name w:val="页脚 Char"/>
    <w:basedOn w:val="a0"/>
    <w:link w:val="a5"/>
    <w:rsid w:val="001220C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1446</Characters>
  <Application>Microsoft Office Word</Application>
  <DocSecurity>0</DocSecurity>
  <Lines>12</Lines>
  <Paragraphs>3</Paragraphs>
  <ScaleCrop>false</ScaleCrop>
  <Company>西双版纳州直属党政机关单位</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2018-09-27T02:51:00Z</dcterms:created>
  <dcterms:modified xsi:type="dcterms:W3CDTF">2018-10-03T02:27:00Z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