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国务院关税税则委员会关于发布《中华人民共和国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进出口税则（2019）》的公告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税委会公告〔2018〕11号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根据《中华人民共和国进出口关税条例》及相关规定，现公布《中华人民共和国进出口税则（2019）》，自2019年1月1日起实施。法律、行政法规对进出口关税税目、税率调整另有规定的，从其规定。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附件：中华人民共和国进出口税则（2019）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国务院关税税则委员会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2018年12月29日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2019-01-04T06:39:48Z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