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31" w:rsidRDefault="00C37DFF">
      <w:pPr>
        <w:rPr>
          <w:rFonts w:ascii="微软雅黑" w:eastAsia="微软雅黑" w:hAnsi="微软雅黑" w:hint="eastAsia"/>
          <w:color w:val="666666"/>
          <w:kern w:val="36"/>
          <w:sz w:val="38"/>
          <w:szCs w:val="38"/>
        </w:rPr>
      </w:pPr>
      <w:r>
        <w:rPr>
          <w:rFonts w:ascii="微软雅黑" w:eastAsia="微软雅黑" w:hAnsi="微软雅黑" w:hint="eastAsia"/>
          <w:color w:val="666666"/>
          <w:kern w:val="36"/>
          <w:sz w:val="38"/>
          <w:szCs w:val="38"/>
        </w:rPr>
        <w:t>关于将国家重大水利工程建设基金等政府非税收</w:t>
      </w:r>
      <w:proofErr w:type="gramStart"/>
      <w:r>
        <w:rPr>
          <w:rFonts w:ascii="微软雅黑" w:eastAsia="微软雅黑" w:hAnsi="微软雅黑" w:hint="eastAsia"/>
          <w:color w:val="666666"/>
          <w:kern w:val="36"/>
          <w:sz w:val="38"/>
          <w:szCs w:val="38"/>
        </w:rPr>
        <w:t>入项目</w:t>
      </w:r>
      <w:proofErr w:type="gramEnd"/>
      <w:r>
        <w:rPr>
          <w:rFonts w:ascii="微软雅黑" w:eastAsia="微软雅黑" w:hAnsi="微软雅黑" w:hint="eastAsia"/>
          <w:color w:val="666666"/>
          <w:kern w:val="36"/>
          <w:sz w:val="38"/>
          <w:szCs w:val="38"/>
        </w:rPr>
        <w:t>划转税务部门征收的通知</w:t>
      </w:r>
    </w:p>
    <w:p w:rsidR="00C37DFF" w:rsidRPr="00C37DFF" w:rsidRDefault="00C37DFF" w:rsidP="00C37DFF">
      <w:pPr>
        <w:widowControl/>
        <w:wordWrap w:val="0"/>
        <w:spacing w:line="376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bdr w:val="none" w:sz="0" w:space="0" w:color="auto" w:frame="1"/>
        </w:rPr>
      </w:pPr>
      <w:bookmarkStart w:id="0" w:name="sendNo"/>
      <w:r w:rsidRPr="00C37DF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财税〔2018〕147号</w:t>
      </w:r>
      <w:bookmarkEnd w:id="0"/>
    </w:p>
    <w:p w:rsidR="00C37DFF" w:rsidRPr="00C37DFF" w:rsidRDefault="00C37DFF" w:rsidP="00C37DFF">
      <w:pPr>
        <w:widowControl/>
        <w:wordWrap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bookmarkStart w:id="1" w:name="toDeptId"/>
      <w:r w:rsidRPr="00C37DF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国家税务总局：</w:t>
      </w:r>
      <w:bookmarkEnd w:id="1"/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为贯彻落实党中央、国务院关于非税收入征管职责划转的有关要求，平稳有序推进财政部驻地方财政监察专员办事处（以下简称专员办）征收的部分非税收</w:t>
      </w:r>
      <w:proofErr w:type="gramStart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入项目</w:t>
      </w:r>
      <w:proofErr w:type="gramEnd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划转工作，现就有关事项通知如下：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一、自2019年1月1日起，将专员办负责征收的国家重大水利工程建设基金、农网还贷资金、可再生能源发展基金、中央水库移民扶持基金（含大中型水库移民后期扶持基金、三峡水库库区基金、跨省际大中型水库库区基金）、三峡电站水资源费、核电站乏燃料处理处置基金、免税商品特许经营费、油价调控风险准备金、核事故应急准备专项收入，以及国家留成油收入、石油特别收益金划转税务部门负责征收。以前年度应缴未缴的非税收入，由税务部门负责征缴入库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二、国家重大水利工程建设基金、可再生能源发展基金、跨省际大中型水库库区基金、大中型水库移民后期扶持基金、三峡电站水资源费2018年度汇算清缴工作仍由专员办负责，以后年度汇算清缴工作由税务部门负责。 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 xml:space="preserve">　　三、缴纳义务人或代征单位应当按照规定的期限和程序，向税务部门申报和缴纳相关非税收入。申报和缴纳期限最后一日是法定休假日的，以休假日期满的次日为最后一日，期限内有连续3日以上法定休假日的，按休假日天数顺延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四、划转税务部门征收的非税收入项目，其征收范围、对象和标准，以及收入分成和使用政策仍按照现行规定执行。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五、税务部门应当按照非税收入国库集中收缴等有关规定，将非税收入缴入国库，并做好申报征收、会统核算、缴费检查、欠费追缴等工作。对应申报未申报、申报不实、不按规定缴纳等违规行为，要依法查处，并纳入社会信用体系。有关部门和单位应当配合税务部门做好非税收入征收工作。税务部门征收非税收</w:t>
      </w:r>
      <w:proofErr w:type="gramStart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入应当</w:t>
      </w:r>
      <w:proofErr w:type="gramEnd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使用财政部统一监（印）制的非税收入票据，按照税务部门全国统一信息化方式规范管理。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六、税务总局应当与财政部系统互联互通，及时共享非税收入计征、缴库、财政票据等明细信息，并积极创造条件，尽快实现非税收入征缴明细信息实时共享。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七、税务部门征收非税收入，因税务部门误收、缴费人误</w:t>
      </w:r>
      <w:proofErr w:type="gramStart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缴以及</w:t>
      </w:r>
      <w:proofErr w:type="gramEnd"/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汇算清缴需要退库的，由财政部授权税务部门办理退库事宜；因收入减免等政策性原因需要退库的，按照财政部有关退库管理规定办理。</w:t>
      </w:r>
    </w:p>
    <w:p w:rsidR="00C37DFF" w:rsidRPr="00C37DFF" w:rsidRDefault="00C37DFF" w:rsidP="00C37DFF">
      <w:pPr>
        <w:widowControl/>
        <w:wordWrap w:val="0"/>
        <w:autoSpaceDE w:val="0"/>
        <w:spacing w:line="37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八、本通知自公布之日起实施。</w:t>
      </w:r>
    </w:p>
    <w:p w:rsidR="00C37DFF" w:rsidRPr="00C37DFF" w:rsidRDefault="00C37DFF" w:rsidP="00C37DFF">
      <w:pPr>
        <w:widowControl/>
        <w:wordWrap w:val="0"/>
        <w:spacing w:line="376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财 政 部</w:t>
      </w:r>
    </w:p>
    <w:p w:rsidR="00C37DFF" w:rsidRPr="00C37DFF" w:rsidRDefault="00C37DFF" w:rsidP="00C37DFF">
      <w:pPr>
        <w:widowControl/>
        <w:wordWrap w:val="0"/>
        <w:spacing w:line="376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 w:rsidRPr="00C37DF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 xml:space="preserve">　　2018年12月7日</w:t>
      </w:r>
    </w:p>
    <w:p w:rsidR="00C37DFF" w:rsidRDefault="00C37DFF">
      <w:pPr>
        <w:rPr>
          <w:rFonts w:hint="eastAsia"/>
        </w:rPr>
      </w:pPr>
    </w:p>
    <w:sectPr w:rsidR="00C37DFF" w:rsidSect="00D5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DFF"/>
    <w:rsid w:val="006712AC"/>
    <w:rsid w:val="00C37DFF"/>
    <w:rsid w:val="00D5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92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</Words>
  <Characters>858</Characters>
  <Application>Microsoft Office Word</Application>
  <DocSecurity>0</DocSecurity>
  <Lines>7</Lines>
  <Paragraphs>2</Paragraphs>
  <ScaleCrop>false</ScaleCrop>
  <Company>ITianKong.Com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2019-01-28T08:56:00Z</dcterms:created>
  <dcterms:modified xsi:type="dcterms:W3CDTF">2019-01-28T09:18:00Z</dcterms:modified>
</cp:coreProperties>
</file>