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中华人民共和国国务院令</w:t>
      </w: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br w:type="textWrapping"/>
      </w:r>
      <w:r>
        <w:rPr>
          <w:rFonts w:ascii="楷体_GB2312" w:hAnsi="方正小标宋简体" w:eastAsia="楷体_GB2312" w:cs="楷体_GB2312"/>
          <w:b w:val="0"/>
          <w:i w:val="0"/>
          <w:caps w:val="0"/>
          <w:color w:val="333333"/>
          <w:spacing w:val="0"/>
          <w:sz w:val="30"/>
          <w:szCs w:val="30"/>
          <w:bdr w:val="none" w:color="auto" w:sz="0" w:space="0"/>
          <w:shd w:val="clear" w:fill="FFFFFF"/>
        </w:rPr>
        <w:t>第707号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方正小标宋简体" w:hAnsi="方正小标宋简体" w:eastAsia="方正小标宋简体" w:cs="方正小标宋简体"/>
          <w:b w:val="0"/>
          <w:i w:val="0"/>
          <w:caps w:val="0"/>
          <w:color w:val="333333"/>
          <w:spacing w:val="0"/>
          <w:sz w:val="36"/>
          <w:szCs w:val="36"/>
        </w:rPr>
      </w:pPr>
      <w:r>
        <w:rPr>
          <w:rFonts w:ascii="仿宋_GB2312" w:hAnsi="方正小标宋简体" w:eastAsia="仿宋_GB2312" w:cs="仿宋_GB2312"/>
          <w:b w:val="0"/>
          <w:i w:val="0"/>
          <w:caps w:val="0"/>
          <w:color w:val="333333"/>
          <w:spacing w:val="0"/>
          <w:sz w:val="30"/>
          <w:szCs w:val="30"/>
          <w:bdr w:val="none" w:color="auto" w:sz="0" w:space="0"/>
          <w:shd w:val="clear" w:fill="FFFFFF"/>
        </w:rPr>
        <w:t>　　现公布修订后的《中华人民共和国个人所得税法实施条例》，自2019年1月1日起施行。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总理  李克强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2018年12月18日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i w:val="0"/>
          <w:caps w:val="0"/>
          <w:color w:val="333333"/>
          <w:spacing w:val="0"/>
          <w:sz w:val="30"/>
          <w:szCs w:val="30"/>
          <w:bdr w:val="none" w:color="auto" w:sz="0" w:space="0"/>
          <w:shd w:val="clear" w:fill="FFFFFF"/>
        </w:rPr>
        <w:t>中华人民共和国个人所得税法实施条例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（1994年1月28日中华人民共和国国务院令第142号发布　根据2005年12月19日《国务院关于修改〈中华人民共和国个人所得税法实施条例〉的决定》第一次修订　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方正小标宋简体" w:hAnsi="方正小标宋简体" w:eastAsia="方正小标宋简体" w:cs="方正小标宋简体"/>
          <w:b w:val="0"/>
          <w:i w:val="0"/>
          <w:caps w:val="0"/>
          <w:color w:val="333333"/>
          <w:spacing w:val="0"/>
          <w:sz w:val="36"/>
          <w:szCs w:val="36"/>
        </w:rP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第一条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根据《中华人民共和国个人所得税法》（以下简称个人所得税法），制定本条例。</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个人所得税法所称在中国境内有住所，是指因户籍、家庭、经济利益关系而在中国境内习惯性居住；所称从中国境内和境外取得的所得，分别是指来源于中国境内的所得和来源于中国境外的所得。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除国务院财政、税务主管部门另有规定外，下列所得，不论支付地点是否在中国境内，均为来源于中国境内的所得：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（一）因任职、受雇、履约等在中国境内提供劳务取得的所得；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（二）将财产出租给承租人在中国境内使用而取得的所得；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（三）许可各种特许权在中国境内使用而取得的所得；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（四）转让中国境内的不动产等财产或者在中国境内转让其他财产取得的所得；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（五）从中国境内企业、事业单位、其他组织以及居民个人取得的利息、股息、红利所得。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第四条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第五条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在中国境内无住所的个人，在一个纳税年度内在中国境内居住累计不超过90天的，其来源于中国境内的所得，由境外雇主支付并且不由该雇主在中国境内的机构、场所负担的部分，免予缴纳个人所得税。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第六条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个人所得税法规定的各项个人所得的范围：</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（一）工资、薪金所得，是指个人因任职或者受雇取得的工资、薪金、奖金、年终加薪、劳动分红、津贴、补贴以及与任职或者受雇有关的其他所得。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（三）稿酬所得，是指个人因其作品以图书、报刊等形式出版、发表而取得的所得。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（四）特许权使用费所得，是指个人提供专利权、商标权、著作权、非专利技术以及其他特许权的使用权取得的所得；提供著作权的使用权取得的所得，不包括稿酬所得。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（五）经营所得，是指：</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1.个体工商户从事生产、经营活动取得的所得，个人独资企业投资人、合伙企业的个人合伙人来源于境内注册的个人独资企业、合伙企业生产、经营的所得；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2.个人依法从事办学、医疗、咨询以及其他有偿服务活动取得的所得；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3.个人对企业、事业单位承包经营、承租经营以及转包、转租取得的所得；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4.个人从事其他生产、经营活动取得的所得。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（六）利息、股息、红利所得，是指个人拥有债权、股权等而取得的利息、股息、红利所得。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（七）财产租赁所得，是指个人出租不动产、机器设备、车船以及其他财产取得的所得。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（八）财产转让所得，是指个人转让有价证券、股权、合伙企业中的财产份额、不动产、机器设备、车船以及其他财产取得的所得。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（九）偶然所得，是指个人得奖、中奖、中彩以及其他偶然性质的所得。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个人取得的所得，难以界定应纳税所得项目的，由国务院税务主管部门确定。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第七条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对股票转让所得征收个人所得税的办法，由国务院另行规定，并报全国人民代表大会常务委员会备案。</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第八条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第九条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个人所得税法第四条第一款第二项所称国债利息，是指个人持有中华人民共和国财政部发行的债券而取得的利息；所称国家发行的金融债券利息，是指个人持有经国务院批准发行的金融债券而取得的利息。</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个人所得税法第四条第一款第三项所称按照国家统一规定发给的补贴、津贴，是指按照国务院规定发给的政府特殊津贴、院士津贴，以及国务院规定免予缴纳个人所得税的其他补贴、津贴。</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第十一条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第十二条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第十三条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专项扣除、专项附加扣除和依法确定的其他扣除，以居民个人一个纳税年度的应纳税所得额为限额；一个纳税年度扣除不完的，不结转以后年度扣除。</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第十四条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个人所得税法第六条第一款第二项、第四项、第六项所称每次，分别按照下列方法确定：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（一）劳务报酬所得、稿酬所得、特许权使用费所得，属于一次性收入的，以取得该项收入为一次；属于同一项目连续性收入的，以一个月内取得的收入为一次。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（二）财产租赁所得，以一个月内取得的收入为一次。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（三）利息、股息、红利所得，以支付利息、股息、红利时取得的收入为一次。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（四）偶然所得，以每次取得该项收入为一次。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第十五条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取得经营所得的个人，没有综合所得的，计算其每一纳税年度的应纳税所得额时，应当减除费用6万元、专项扣除、专项附加扣除以及依法确定的其他扣除。专项附加扣除在办理汇算清缴时减除。</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从事生产、经营活动，未提供完整、准确的纳税资料，不能正确计算应纳税所得额的，由主管税务机关核定应纳税所得额或者应纳税额。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第十六条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个人所得税法第六条第一款第五项规定的财产原值，按照下列方法确定：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（一）有价证券，为买入价以及买入时按照规定交纳的有关费用；</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（二）建筑物，为建造费或者购进价格以及其他有关费用；</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（三）土地使用权，为取得土地使用权所支付的金额、开发土地的费用以及其他有关费用；</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（四）机器设备、车船，为购进价格、运输费、安装费以及其他有关费用。</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其他财产，参照前款规定的方法确定财产原值。</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纳税人未提供完整、准确的财产原值凭证，不能按照本条第一款规定的方法确定财产原值的，由主管税务机关核定财产原值。</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个人所得税法第六条第一款第五项所称合理费用，是指卖出财产时按照规定支付的有关税费。</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第十七条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财产转让所得，按照一次转让财产的收入额减除财产原值和合理费用后的余额计算纳税。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第十八条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两个以上的个人共同取得同一项目收入的，应当对每个人取得的收入分别按照个人所得税法的规定计算纳税。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第十九条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居民个人从中国境内和境外取得的综合所得、经营所得，应当分别合并计算应纳税额；从中国境内和境外取得的其他所得，应当分别单独计算应纳税额。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第二十一条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个人所得税法第七条所称已在境外缴纳的个人所得税税额，是指居民个人来源于中国境外的所得，依照该所得来源国家（地区）的法律应当缴纳并且实际已经缴纳的所得税税额。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第二十二条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居民个人申请抵免已在境外缴纳的个人所得税税额，应当提供境外税务机关出具的税款所属年度的有关纳税凭证。</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第二十三条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第二十四条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扣缴义务人向个人支付应税款项时，应当依照个人所得税法规定预扣或者代扣税款，按时缴库，并专项记载备查。</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前款所称支付，包括现金支付、汇拨支付、转账支付和以有价证券、实物以及其他形式的支付。</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第二十五条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取得综合所得需要办理汇算清缴的情形包括：</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（一）从两处以上取得综合所得，且综合所得年收入额减除专项扣除的余额超过6万元；</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（二）取得劳务报酬所得、稿酬所得、特许权使用费所得中一项或者多项所得，且综合所得年收入额减除专项扣除的余额超过6万元；</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（三）纳税年度内预缴税额低于应纳税额；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（四）纳税人申请退税。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纳税人申请退税，应当提供其在中国境内开设的银行账户，并在汇算清缴地就地办理税款退库。</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汇算清缴的具体办法由国务院税务主管部门制定。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第二十六条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第二十七条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纳税人办理纳税申报的地点以及其他有关事项的具体办法，由国务院税务主管部门制定。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第二十八条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居民个人取得劳务报酬所得、稿酬所得、特许权使用费所得，应当在汇算清缴时向税务机关提供有关信息，减除专项附加扣除。</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第二十九条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纳税人可以委托扣缴义务人或者其他单位和个人办理汇算清缴。</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扣缴义务人应当按照纳税人提供的信息计算办理扣缴申报，不得擅自更改纳税人提供的信息。</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纳税人发现扣缴义务人提供或者扣缴申报的个人信息、所得、扣缴税款等与实际情况不符的，有权要求扣缴义务人修改。扣缴义务人拒绝修改的，纳税人应当报告税务机关，税务机关应当及时处理。</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第三十一条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纳税人申请退税时提供的汇算清缴信息有错误的，税务机关应当告知其更正；纳税人更正的，税务机关应当及时办理退税。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扣缴义务人未将扣缴的税款解缴入库的，不影响纳税人按照规定申请退税，税务机关应当凭纳税人提供的有关资料办理退税。</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第三十二条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第三十三条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税务机关按照个人所得税法第十七条的规定付给扣缴义务人手续费，应当填开退还书；扣缴义务人凭退还书，按照国库管理有关规定办理退库手续。</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第三十四条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个人所得税纳税申报表、扣缴个人所得税报告表和个人所得税完税凭证式样，由国务院税务主管部门统一制定。</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第三十五条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军队人员个人所得税征收事宜，按照有关规定执行。</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br w:type="textWrapping"/>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r>
        <w:rPr>
          <w:rFonts w:hint="default" w:ascii="仿宋_GB2312" w:hAnsi="方正小标宋简体" w:eastAsia="仿宋_GB2312" w:cs="仿宋_GB2312"/>
          <w:b/>
          <w:i w:val="0"/>
          <w:caps w:val="0"/>
          <w:color w:val="333333"/>
          <w:spacing w:val="0"/>
          <w:sz w:val="30"/>
          <w:szCs w:val="30"/>
          <w:bdr w:val="none" w:color="auto" w:sz="0" w:space="0"/>
          <w:shd w:val="clear" w:fill="FFFFFF"/>
        </w:rPr>
        <w:t>第三十六条</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本条例自2019年1月1日起施行。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方正小标宋简体" w:hAnsi="方正小标宋简体" w:eastAsia="方正小标宋简体" w:cs="方正小标宋简体"/>
          <w:b w:val="0"/>
          <w:i w:val="0"/>
          <w:caps w:val="0"/>
          <w:color w:val="333333"/>
          <w:spacing w:val="0"/>
          <w:sz w:val="36"/>
          <w:szCs w:val="36"/>
        </w:rPr>
      </w:pPr>
      <w:r>
        <w:rPr>
          <w:rFonts w:ascii="Calibri" w:hAnsi="Calibri" w:eastAsia="方正小标宋简体" w:cs="Calibri"/>
          <w:b w:val="0"/>
          <w:i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2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2019-01-03T00:53:02Z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