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62" w:rsidRPr="00342094" w:rsidRDefault="006C6962" w:rsidP="006C6962">
      <w:pPr>
        <w:rPr>
          <w:rFonts w:ascii="黑体" w:eastAsia="黑体" w:hAnsi="黑体"/>
          <w:b/>
          <w:sz w:val="42"/>
          <w:szCs w:val="42"/>
        </w:rPr>
      </w:pPr>
      <w:r w:rsidRPr="00342094">
        <w:rPr>
          <w:rFonts w:ascii="黑体" w:eastAsia="黑体" w:hAnsi="黑体" w:hint="eastAsia"/>
          <w:b/>
          <w:sz w:val="42"/>
          <w:szCs w:val="42"/>
        </w:rPr>
        <w:t>财政部　税务总局关于建筑服务</w:t>
      </w:r>
      <w:proofErr w:type="gramStart"/>
      <w:r w:rsidRPr="00342094">
        <w:rPr>
          <w:rFonts w:ascii="黑体" w:eastAsia="黑体" w:hAnsi="黑体" w:hint="eastAsia"/>
          <w:b/>
          <w:sz w:val="42"/>
          <w:szCs w:val="42"/>
        </w:rPr>
        <w:t>等营改增试点</w:t>
      </w:r>
      <w:proofErr w:type="gramEnd"/>
      <w:r w:rsidRPr="00342094">
        <w:rPr>
          <w:rFonts w:ascii="黑体" w:eastAsia="黑体" w:hAnsi="黑体" w:hint="eastAsia"/>
          <w:b/>
          <w:sz w:val="42"/>
          <w:szCs w:val="42"/>
        </w:rPr>
        <w:t xml:space="preserve">政策的通知 </w:t>
      </w:r>
    </w:p>
    <w:p w:rsidR="006C6962" w:rsidRPr="00342094" w:rsidRDefault="006C6962" w:rsidP="006C6962">
      <w:pPr>
        <w:rPr>
          <w:rFonts w:ascii="微软雅黑" w:eastAsia="微软雅黑" w:hAnsi="微软雅黑"/>
          <w:sz w:val="28"/>
          <w:szCs w:val="28"/>
        </w:rPr>
      </w:pPr>
      <w:r w:rsidRPr="00342094">
        <w:rPr>
          <w:rFonts w:ascii="微软雅黑" w:eastAsia="微软雅黑" w:hAnsi="微软雅黑" w:hint="eastAsia"/>
          <w:sz w:val="28"/>
          <w:szCs w:val="28"/>
        </w:rPr>
        <w:t>财税[2017]58号</w:t>
      </w:r>
    </w:p>
    <w:p w:rsidR="006C6962" w:rsidRDefault="006C6962" w:rsidP="006C6962">
      <w:pPr>
        <w:rPr>
          <w:rFonts w:asciiTheme="minorEastAsia" w:hAnsiTheme="minorEastAsia"/>
          <w:sz w:val="28"/>
          <w:szCs w:val="28"/>
        </w:rPr>
      </w:pPr>
      <w:r w:rsidRPr="00342094">
        <w:rPr>
          <w:rFonts w:asciiTheme="minorEastAsia" w:hAnsiTheme="minorEastAsia"/>
          <w:sz w:val="28"/>
          <w:szCs w:val="28"/>
        </w:rPr>
        <w:t>各省、自治区、直辖市、计划单列市财政厅（局）、国家税务局、地方税务局，新疆生产建设兵团财务局：</w:t>
      </w:r>
      <w:r w:rsidRPr="00342094">
        <w:rPr>
          <w:rFonts w:asciiTheme="minorEastAsia" w:hAnsiTheme="minorEastAsia"/>
          <w:sz w:val="28"/>
          <w:szCs w:val="28"/>
        </w:rPr>
        <w:br/>
        <w:t xml:space="preserve">　　现将</w:t>
      </w:r>
      <w:proofErr w:type="gramStart"/>
      <w:r w:rsidRPr="00342094">
        <w:rPr>
          <w:rFonts w:asciiTheme="minorEastAsia" w:hAnsiTheme="minorEastAsia"/>
          <w:sz w:val="28"/>
          <w:szCs w:val="28"/>
        </w:rPr>
        <w:t>营改增试点</w:t>
      </w:r>
      <w:proofErr w:type="gramEnd"/>
      <w:r w:rsidRPr="00342094">
        <w:rPr>
          <w:rFonts w:asciiTheme="minorEastAsia" w:hAnsiTheme="minorEastAsia"/>
          <w:sz w:val="28"/>
          <w:szCs w:val="28"/>
        </w:rPr>
        <w:t>期间建筑服务等政策补充通知如下：</w:t>
      </w:r>
      <w:r w:rsidRPr="00342094">
        <w:rPr>
          <w:rFonts w:asciiTheme="minorEastAsia" w:hAnsiTheme="minorEastAsia"/>
          <w:sz w:val="28"/>
          <w:szCs w:val="28"/>
        </w:rPr>
        <w:br/>
        <w:t xml:space="preserve">　　一、建筑工程总承包单位为房屋建筑的地基与基础、主体结构提供工程服务，建设单位自行采购全部或部分钢材、混凝土、砌</w:t>
      </w:r>
      <w:proofErr w:type="gramStart"/>
      <w:r w:rsidRPr="00342094">
        <w:rPr>
          <w:rFonts w:asciiTheme="minorEastAsia" w:hAnsiTheme="minorEastAsia"/>
          <w:sz w:val="28"/>
          <w:szCs w:val="28"/>
        </w:rPr>
        <w:t>体材</w:t>
      </w:r>
      <w:proofErr w:type="gramEnd"/>
      <w:r w:rsidRPr="00342094">
        <w:rPr>
          <w:rFonts w:asciiTheme="minorEastAsia" w:hAnsiTheme="minorEastAsia"/>
          <w:sz w:val="28"/>
          <w:szCs w:val="28"/>
        </w:rPr>
        <w:t>料、预制构件的，适用简易计税方法计税。</w:t>
      </w:r>
      <w:r w:rsidRPr="00342094">
        <w:rPr>
          <w:rFonts w:asciiTheme="minorEastAsia" w:hAnsiTheme="minorEastAsia"/>
          <w:sz w:val="28"/>
          <w:szCs w:val="28"/>
        </w:rPr>
        <w:br/>
        <w:t xml:space="preserve">　　地基与基础、主体结构的范围，按照《建筑工程施工质量验收统一标准》（GB50300-2013）附录B《建筑工程的分部工程、分项工程划分》中的“地基与基础”“主体结构”分部工程的范围执行。</w:t>
      </w:r>
      <w:r w:rsidRPr="00342094">
        <w:rPr>
          <w:rFonts w:asciiTheme="minorEastAsia" w:hAnsiTheme="minorEastAsia"/>
          <w:sz w:val="28"/>
          <w:szCs w:val="28"/>
        </w:rPr>
        <w:br/>
        <w:t xml:space="preserve">　　二、《营业税改征增值税试点实施办法》(财税〔2016〕36号印发)第四十五条第(二)项修改为“纳税人提供租赁服务采取预收款方式的，其纳税义务发生时间为收到预收款的当天”。</w:t>
      </w:r>
      <w:r w:rsidRPr="00342094">
        <w:rPr>
          <w:rFonts w:asciiTheme="minorEastAsia" w:hAnsiTheme="minorEastAsia"/>
          <w:sz w:val="28"/>
          <w:szCs w:val="28"/>
        </w:rPr>
        <w:br/>
        <w:t xml:space="preserve">　　三、纳税人提供建筑服务取得预收款，应在收到预收款时，以取得的预收款扣除支付的分包款后的余额，按照本条第三款规定的</w:t>
      </w:r>
      <w:proofErr w:type="gramStart"/>
      <w:r w:rsidRPr="00342094">
        <w:rPr>
          <w:rFonts w:asciiTheme="minorEastAsia" w:hAnsiTheme="minorEastAsia"/>
          <w:sz w:val="28"/>
          <w:szCs w:val="28"/>
        </w:rPr>
        <w:t>预征率</w:t>
      </w:r>
      <w:proofErr w:type="gramEnd"/>
      <w:r w:rsidRPr="00342094">
        <w:rPr>
          <w:rFonts w:asciiTheme="minorEastAsia" w:hAnsiTheme="minorEastAsia"/>
          <w:sz w:val="28"/>
          <w:szCs w:val="28"/>
        </w:rPr>
        <w:t>预缴增值税。</w:t>
      </w:r>
      <w:r w:rsidRPr="00342094">
        <w:rPr>
          <w:rFonts w:asciiTheme="minorEastAsia" w:hAnsiTheme="minorEastAsia"/>
          <w:sz w:val="28"/>
          <w:szCs w:val="28"/>
        </w:rPr>
        <w:br/>
        <w:t xml:space="preserve">　　按照现行规定应在建筑服务发生地预缴增值税的项目，纳税人收到预收款时在建筑服务发生地预缴增值税。按照现行规定无需在建筑服务发生地预缴增值税的项目，纳税人收到预收款时在机构所在地预缴增值税。</w:t>
      </w:r>
      <w:r w:rsidRPr="00342094">
        <w:rPr>
          <w:rFonts w:asciiTheme="minorEastAsia" w:hAnsiTheme="minorEastAsia"/>
          <w:sz w:val="28"/>
          <w:szCs w:val="28"/>
        </w:rPr>
        <w:br/>
      </w:r>
      <w:r w:rsidRPr="00342094">
        <w:rPr>
          <w:rFonts w:asciiTheme="minorEastAsia" w:hAnsiTheme="minorEastAsia"/>
          <w:sz w:val="28"/>
          <w:szCs w:val="28"/>
        </w:rPr>
        <w:lastRenderedPageBreak/>
        <w:t xml:space="preserve">　　适用一般计税方法计税的项目</w:t>
      </w:r>
      <w:proofErr w:type="gramStart"/>
      <w:r w:rsidRPr="00342094">
        <w:rPr>
          <w:rFonts w:asciiTheme="minorEastAsia" w:hAnsiTheme="minorEastAsia"/>
          <w:sz w:val="28"/>
          <w:szCs w:val="28"/>
        </w:rPr>
        <w:t>预征率</w:t>
      </w:r>
      <w:proofErr w:type="gramEnd"/>
      <w:r w:rsidRPr="00342094">
        <w:rPr>
          <w:rFonts w:asciiTheme="minorEastAsia" w:hAnsiTheme="minorEastAsia"/>
          <w:sz w:val="28"/>
          <w:szCs w:val="28"/>
        </w:rPr>
        <w:t>为2%，适用简易计税方法计税的项目</w:t>
      </w:r>
      <w:proofErr w:type="gramStart"/>
      <w:r w:rsidRPr="00342094">
        <w:rPr>
          <w:rFonts w:asciiTheme="minorEastAsia" w:hAnsiTheme="minorEastAsia"/>
          <w:sz w:val="28"/>
          <w:szCs w:val="28"/>
        </w:rPr>
        <w:t>预征率</w:t>
      </w:r>
      <w:proofErr w:type="gramEnd"/>
      <w:r w:rsidRPr="00342094">
        <w:rPr>
          <w:rFonts w:asciiTheme="minorEastAsia" w:hAnsiTheme="minorEastAsia"/>
          <w:sz w:val="28"/>
          <w:szCs w:val="28"/>
        </w:rPr>
        <w:t>为3%。</w:t>
      </w:r>
      <w:r w:rsidRPr="00342094">
        <w:rPr>
          <w:rFonts w:asciiTheme="minorEastAsia" w:hAnsiTheme="minorEastAsia"/>
          <w:sz w:val="28"/>
          <w:szCs w:val="28"/>
        </w:rPr>
        <w:br/>
        <w:t xml:space="preserve">　　四、纳税人采取转包、出租、互换、转让、入股等方式将承包地流转给农业生产者用于农业生产，免征增值税。</w:t>
      </w:r>
      <w:r w:rsidRPr="00342094">
        <w:rPr>
          <w:rFonts w:asciiTheme="minorEastAsia" w:hAnsiTheme="minorEastAsia"/>
          <w:sz w:val="28"/>
          <w:szCs w:val="28"/>
        </w:rPr>
        <w:br/>
        <w:t xml:space="preserve">　　五、自2018年1月1日起，金融机构开展贴现、转贴现业务，以其实际持有票据期间取得的利息收入作为贷款服务销售额计算缴纳增值税。此前贴现机构已就贴现利息收入全额缴纳增值税的票据，转贴现机构转贴现利息收入继续免征增值税。</w:t>
      </w:r>
      <w:r w:rsidRPr="00342094">
        <w:rPr>
          <w:rFonts w:asciiTheme="minorEastAsia" w:hAnsiTheme="minorEastAsia"/>
          <w:sz w:val="28"/>
          <w:szCs w:val="28"/>
        </w:rPr>
        <w:br/>
        <w:t xml:space="preserve">　　六、本通知除第五条外，自2017年7月1日起执行。《营业税改征增值税试点实施办法》(财税〔2016〕36号印发)第七条自2017年7月1日起废止。《营业税改征增值税试点过渡政策的规定》（财税〔2016〕36号印发）第一条第（二十三）项第4点自2018年1月1日起废止。</w:t>
      </w:r>
    </w:p>
    <w:p w:rsidR="0086253E" w:rsidRPr="006C6962" w:rsidRDefault="0086253E"/>
    <w:sectPr w:rsidR="0086253E" w:rsidRPr="006C6962"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6962"/>
    <w:rsid w:val="006C6962"/>
    <w:rsid w:val="00862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ITianKong.Com</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2019-05-24T02:24:00Z</dcterms:created>
  <dcterms:modified xsi:type="dcterms:W3CDTF">2019-05-24T02:25:00Z</dcterms:modified>
</cp:coreProperties>
</file>