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6C" w:rsidRPr="0008316C" w:rsidRDefault="0008316C" w:rsidP="0008316C">
      <w:pPr>
        <w:widowControl/>
        <w:shd w:val="clear" w:color="auto" w:fill="FFFFFF"/>
        <w:spacing w:line="560" w:lineRule="atLeast"/>
        <w:jc w:val="center"/>
        <w:rPr>
          <w:rFonts w:ascii="Calibri" w:eastAsia="宋体" w:hAnsi="Calibri" w:cs="宋体"/>
          <w:color w:val="333333"/>
          <w:kern w:val="0"/>
          <w:sz w:val="24"/>
          <w:szCs w:val="24"/>
        </w:rPr>
      </w:pPr>
      <w:r w:rsidRPr="0008316C">
        <w:rPr>
          <w:rFonts w:ascii="方正小标宋简体" w:eastAsia="方正小标宋简体" w:hAnsi="Calibri" w:cs="宋体" w:hint="eastAsia"/>
          <w:color w:val="333333"/>
          <w:kern w:val="0"/>
          <w:sz w:val="36"/>
          <w:szCs w:val="36"/>
          <w:shd w:val="clear" w:color="auto" w:fill="FFFFFF"/>
        </w:rPr>
        <w:t>财政部</w:t>
      </w:r>
      <w:r w:rsidRPr="0008316C">
        <w:rPr>
          <w:rFonts w:ascii="方正小标宋简体" w:eastAsia="方正小标宋简体" w:hAnsi="Calibri" w:cs="宋体" w:hint="eastAsia"/>
          <w:color w:val="333333"/>
          <w:kern w:val="0"/>
          <w:sz w:val="36"/>
          <w:szCs w:val="36"/>
          <w:shd w:val="clear" w:color="auto" w:fill="FFFFFF"/>
        </w:rPr>
        <w:t> </w:t>
      </w:r>
      <w:r w:rsidRPr="0008316C">
        <w:rPr>
          <w:rFonts w:ascii="方正小标宋简体" w:eastAsia="方正小标宋简体" w:hAnsi="Calibri" w:cs="宋体" w:hint="eastAsia"/>
          <w:color w:val="333333"/>
          <w:kern w:val="0"/>
          <w:sz w:val="36"/>
          <w:szCs w:val="36"/>
          <w:shd w:val="clear" w:color="auto" w:fill="FFFFFF"/>
        </w:rPr>
        <w:t>税务总局关于金融企业涉农贷款和中小企业贷款损失准备金税前扣除有关政策的公告</w:t>
      </w:r>
    </w:p>
    <w:p w:rsidR="0008316C" w:rsidRPr="0008316C" w:rsidRDefault="0008316C" w:rsidP="0008316C">
      <w:pPr>
        <w:widowControl/>
        <w:shd w:val="clear" w:color="auto" w:fill="FFFFFF"/>
        <w:spacing w:line="560" w:lineRule="atLeast"/>
        <w:jc w:val="center"/>
        <w:rPr>
          <w:rFonts w:ascii="Calibri" w:eastAsia="宋体" w:hAnsi="Calibri" w:cs="宋体"/>
          <w:color w:val="333333"/>
          <w:kern w:val="0"/>
          <w:sz w:val="24"/>
          <w:szCs w:val="24"/>
        </w:rPr>
      </w:pPr>
      <w:r w:rsidRPr="0008316C">
        <w:rPr>
          <w:rFonts w:ascii="仿宋_GB2312" w:eastAsia="仿宋_GB2312" w:hAnsi="仿宋" w:cs="宋体" w:hint="eastAsia"/>
          <w:color w:val="333333"/>
          <w:kern w:val="0"/>
          <w:sz w:val="30"/>
          <w:szCs w:val="30"/>
          <w:shd w:val="clear" w:color="auto" w:fill="FFFFFF"/>
        </w:rPr>
        <w:t>财政部</w:t>
      </w:r>
      <w:r w:rsidRPr="0008316C">
        <w:rPr>
          <w:rFonts w:ascii="宋体" w:eastAsia="宋体" w:hAnsi="宋体" w:cs="宋体" w:hint="eastAsia"/>
          <w:color w:val="333333"/>
          <w:kern w:val="0"/>
          <w:sz w:val="30"/>
          <w:szCs w:val="30"/>
          <w:shd w:val="clear" w:color="auto" w:fill="FFFFFF"/>
        </w:rPr>
        <w:t> </w:t>
      </w:r>
      <w:r w:rsidRPr="0008316C">
        <w:rPr>
          <w:rFonts w:ascii="仿宋_GB2312" w:eastAsia="仿宋_GB2312" w:hAnsi="仿宋" w:cs="宋体" w:hint="eastAsia"/>
          <w:color w:val="333333"/>
          <w:kern w:val="0"/>
          <w:sz w:val="30"/>
          <w:szCs w:val="30"/>
          <w:shd w:val="clear" w:color="auto" w:fill="FFFFFF"/>
        </w:rPr>
        <w:t>税务总局公告2019年第85号</w:t>
      </w:r>
    </w:p>
    <w:p w:rsidR="0008316C" w:rsidRPr="0008316C" w:rsidRDefault="0008316C" w:rsidP="0008316C">
      <w:pPr>
        <w:widowControl/>
        <w:shd w:val="clear" w:color="auto" w:fill="FFFFFF"/>
        <w:spacing w:line="560" w:lineRule="atLeast"/>
        <w:jc w:val="center"/>
        <w:rPr>
          <w:rFonts w:ascii="Calibri" w:eastAsia="宋体" w:hAnsi="Calibri" w:cs="宋体"/>
          <w:color w:val="333333"/>
          <w:kern w:val="0"/>
          <w:sz w:val="24"/>
          <w:szCs w:val="24"/>
        </w:rPr>
      </w:pPr>
      <w:r w:rsidRPr="0008316C">
        <w:rPr>
          <w:rFonts w:ascii="宋体" w:eastAsia="宋体" w:hAnsi="宋体" w:cs="宋体" w:hint="eastAsia"/>
          <w:color w:val="333333"/>
          <w:kern w:val="0"/>
          <w:sz w:val="30"/>
          <w:szCs w:val="30"/>
          <w:shd w:val="clear" w:color="auto" w:fill="FFFFFF"/>
        </w:rPr>
        <w:t> </w:t>
      </w:r>
    </w:p>
    <w:p w:rsidR="0008316C" w:rsidRPr="0008316C" w:rsidRDefault="0008316C" w:rsidP="0008316C">
      <w:pPr>
        <w:widowControl/>
        <w:shd w:val="clear" w:color="auto" w:fill="FFFFFF"/>
        <w:spacing w:line="560" w:lineRule="atLeast"/>
        <w:rPr>
          <w:rFonts w:ascii="Calibri" w:eastAsia="宋体" w:hAnsi="Calibri" w:cs="宋体"/>
          <w:color w:val="333333"/>
          <w:kern w:val="0"/>
          <w:sz w:val="24"/>
          <w:szCs w:val="24"/>
        </w:rPr>
      </w:pPr>
      <w:r w:rsidRPr="0008316C">
        <w:rPr>
          <w:rFonts w:ascii="仿宋_GB2312" w:eastAsia="仿宋_GB2312" w:hAnsi="仿宋" w:cs="宋体" w:hint="eastAsia"/>
          <w:color w:val="333333"/>
          <w:kern w:val="0"/>
          <w:sz w:val="30"/>
          <w:szCs w:val="30"/>
          <w:shd w:val="clear" w:color="auto" w:fill="FFFFFF"/>
        </w:rPr>
        <w:t xml:space="preserve">　　根据《中华人民共和国企业所得税法》及《中华人民共和国企业所得税法实施条例》的有关规定，现就金融企业涉农贷款和中小企业贷款损失准备金的企业所得税税前扣除政策公告如下：</w:t>
      </w:r>
    </w:p>
    <w:p w:rsidR="0008316C" w:rsidRPr="0008316C" w:rsidRDefault="0008316C" w:rsidP="0008316C">
      <w:pPr>
        <w:widowControl/>
        <w:shd w:val="clear" w:color="auto" w:fill="FFFFFF"/>
        <w:spacing w:line="560" w:lineRule="atLeast"/>
        <w:rPr>
          <w:rFonts w:ascii="Calibri" w:eastAsia="宋体" w:hAnsi="Calibri" w:cs="宋体"/>
          <w:color w:val="333333"/>
          <w:kern w:val="0"/>
          <w:sz w:val="24"/>
          <w:szCs w:val="24"/>
        </w:rPr>
      </w:pPr>
      <w:r w:rsidRPr="0008316C">
        <w:rPr>
          <w:rFonts w:ascii="仿宋_GB2312" w:eastAsia="仿宋_GB2312" w:hAnsi="仿宋" w:cs="宋体" w:hint="eastAsia"/>
          <w:color w:val="333333"/>
          <w:kern w:val="0"/>
          <w:sz w:val="30"/>
          <w:szCs w:val="30"/>
          <w:shd w:val="clear" w:color="auto" w:fill="FFFFFF"/>
        </w:rPr>
        <w:t xml:space="preserve">　　一、金融企业根据《贷款风险分类指引》（银监发〔</w:t>
      </w:r>
      <w:r w:rsidRPr="0008316C">
        <w:rPr>
          <w:rFonts w:ascii="仿宋" w:eastAsia="仿宋" w:hAnsi="仿宋" w:cs="宋体" w:hint="eastAsia"/>
          <w:color w:val="333333"/>
          <w:kern w:val="0"/>
          <w:sz w:val="30"/>
          <w:szCs w:val="30"/>
          <w:shd w:val="clear" w:color="auto" w:fill="FFFFFF"/>
        </w:rPr>
        <w:t>2007〕54号），对其涉农贷款和中小企业贷款进行风险分类后，按照以下比例计提的贷款损失准备金，准予在计算应纳税所得额时扣除：</w:t>
      </w:r>
    </w:p>
    <w:p w:rsidR="0008316C" w:rsidRPr="0008316C" w:rsidRDefault="0008316C" w:rsidP="0008316C">
      <w:pPr>
        <w:widowControl/>
        <w:shd w:val="clear" w:color="auto" w:fill="FFFFFF"/>
        <w:spacing w:line="560" w:lineRule="atLeast"/>
        <w:rPr>
          <w:rFonts w:ascii="Calibri" w:eastAsia="宋体" w:hAnsi="Calibri" w:cs="宋体"/>
          <w:color w:val="333333"/>
          <w:kern w:val="0"/>
          <w:sz w:val="24"/>
          <w:szCs w:val="24"/>
        </w:rPr>
      </w:pPr>
      <w:r w:rsidRPr="0008316C">
        <w:rPr>
          <w:rFonts w:ascii="仿宋_GB2312" w:eastAsia="仿宋_GB2312" w:hAnsi="仿宋" w:cs="宋体" w:hint="eastAsia"/>
          <w:color w:val="333333"/>
          <w:kern w:val="0"/>
          <w:sz w:val="30"/>
          <w:szCs w:val="30"/>
          <w:shd w:val="clear" w:color="auto" w:fill="FFFFFF"/>
        </w:rPr>
        <w:t xml:space="preserve">　　（一）关注类贷款，计提比例为</w:t>
      </w:r>
      <w:r w:rsidRPr="0008316C">
        <w:rPr>
          <w:rFonts w:ascii="仿宋" w:eastAsia="仿宋" w:hAnsi="仿宋" w:cs="宋体" w:hint="eastAsia"/>
          <w:color w:val="333333"/>
          <w:kern w:val="0"/>
          <w:sz w:val="30"/>
          <w:szCs w:val="30"/>
          <w:shd w:val="clear" w:color="auto" w:fill="FFFFFF"/>
        </w:rPr>
        <w:t>2%；</w:t>
      </w:r>
    </w:p>
    <w:p w:rsidR="0008316C" w:rsidRPr="0008316C" w:rsidRDefault="0008316C" w:rsidP="0008316C">
      <w:pPr>
        <w:widowControl/>
        <w:shd w:val="clear" w:color="auto" w:fill="FFFFFF"/>
        <w:spacing w:line="560" w:lineRule="atLeast"/>
        <w:rPr>
          <w:rFonts w:ascii="Calibri" w:eastAsia="宋体" w:hAnsi="Calibri" w:cs="宋体"/>
          <w:color w:val="333333"/>
          <w:kern w:val="0"/>
          <w:sz w:val="24"/>
          <w:szCs w:val="24"/>
        </w:rPr>
      </w:pPr>
      <w:r w:rsidRPr="0008316C">
        <w:rPr>
          <w:rFonts w:ascii="仿宋_GB2312" w:eastAsia="仿宋_GB2312" w:hAnsi="仿宋" w:cs="宋体" w:hint="eastAsia"/>
          <w:color w:val="333333"/>
          <w:kern w:val="0"/>
          <w:sz w:val="30"/>
          <w:szCs w:val="30"/>
          <w:shd w:val="clear" w:color="auto" w:fill="FFFFFF"/>
        </w:rPr>
        <w:t xml:space="preserve">　　（二）次级类贷款，计提比例为</w:t>
      </w:r>
      <w:r w:rsidRPr="0008316C">
        <w:rPr>
          <w:rFonts w:ascii="仿宋" w:eastAsia="仿宋" w:hAnsi="仿宋" w:cs="宋体" w:hint="eastAsia"/>
          <w:color w:val="333333"/>
          <w:kern w:val="0"/>
          <w:sz w:val="30"/>
          <w:szCs w:val="30"/>
          <w:shd w:val="clear" w:color="auto" w:fill="FFFFFF"/>
        </w:rPr>
        <w:t>25%；</w:t>
      </w:r>
    </w:p>
    <w:p w:rsidR="0008316C" w:rsidRPr="0008316C" w:rsidRDefault="0008316C" w:rsidP="0008316C">
      <w:pPr>
        <w:widowControl/>
        <w:shd w:val="clear" w:color="auto" w:fill="FFFFFF"/>
        <w:spacing w:line="560" w:lineRule="atLeast"/>
        <w:rPr>
          <w:rFonts w:ascii="Calibri" w:eastAsia="宋体" w:hAnsi="Calibri" w:cs="宋体"/>
          <w:color w:val="333333"/>
          <w:kern w:val="0"/>
          <w:sz w:val="24"/>
          <w:szCs w:val="24"/>
        </w:rPr>
      </w:pPr>
      <w:r w:rsidRPr="0008316C">
        <w:rPr>
          <w:rFonts w:ascii="仿宋_GB2312" w:eastAsia="仿宋_GB2312" w:hAnsi="仿宋" w:cs="宋体" w:hint="eastAsia"/>
          <w:color w:val="333333"/>
          <w:kern w:val="0"/>
          <w:sz w:val="30"/>
          <w:szCs w:val="30"/>
          <w:shd w:val="clear" w:color="auto" w:fill="FFFFFF"/>
        </w:rPr>
        <w:t xml:space="preserve">　　（三）可疑类贷款，计提比例为</w:t>
      </w:r>
      <w:r w:rsidRPr="0008316C">
        <w:rPr>
          <w:rFonts w:ascii="仿宋" w:eastAsia="仿宋" w:hAnsi="仿宋" w:cs="宋体" w:hint="eastAsia"/>
          <w:color w:val="333333"/>
          <w:kern w:val="0"/>
          <w:sz w:val="30"/>
          <w:szCs w:val="30"/>
          <w:shd w:val="clear" w:color="auto" w:fill="FFFFFF"/>
        </w:rPr>
        <w:t>50%；</w:t>
      </w:r>
    </w:p>
    <w:p w:rsidR="0008316C" w:rsidRPr="0008316C" w:rsidRDefault="0008316C" w:rsidP="0008316C">
      <w:pPr>
        <w:widowControl/>
        <w:shd w:val="clear" w:color="auto" w:fill="FFFFFF"/>
        <w:spacing w:line="560" w:lineRule="atLeast"/>
        <w:rPr>
          <w:rFonts w:ascii="Calibri" w:eastAsia="宋体" w:hAnsi="Calibri" w:cs="宋体"/>
          <w:color w:val="333333"/>
          <w:kern w:val="0"/>
          <w:sz w:val="24"/>
          <w:szCs w:val="24"/>
        </w:rPr>
      </w:pPr>
      <w:r w:rsidRPr="0008316C">
        <w:rPr>
          <w:rFonts w:ascii="仿宋_GB2312" w:eastAsia="仿宋_GB2312" w:hAnsi="仿宋" w:cs="宋体" w:hint="eastAsia"/>
          <w:color w:val="333333"/>
          <w:kern w:val="0"/>
          <w:sz w:val="30"/>
          <w:szCs w:val="30"/>
          <w:shd w:val="clear" w:color="auto" w:fill="FFFFFF"/>
        </w:rPr>
        <w:t xml:space="preserve">　　（四）损失类贷款，计提比例为</w:t>
      </w:r>
      <w:r w:rsidRPr="0008316C">
        <w:rPr>
          <w:rFonts w:ascii="仿宋" w:eastAsia="仿宋" w:hAnsi="仿宋" w:cs="宋体" w:hint="eastAsia"/>
          <w:color w:val="333333"/>
          <w:kern w:val="0"/>
          <w:sz w:val="30"/>
          <w:szCs w:val="30"/>
          <w:shd w:val="clear" w:color="auto" w:fill="FFFFFF"/>
        </w:rPr>
        <w:t>100%。</w:t>
      </w:r>
    </w:p>
    <w:p w:rsidR="0008316C" w:rsidRPr="0008316C" w:rsidRDefault="0008316C" w:rsidP="0008316C">
      <w:pPr>
        <w:widowControl/>
        <w:shd w:val="clear" w:color="auto" w:fill="FFFFFF"/>
        <w:spacing w:line="560" w:lineRule="atLeast"/>
        <w:rPr>
          <w:rFonts w:ascii="Calibri" w:eastAsia="宋体" w:hAnsi="Calibri" w:cs="宋体"/>
          <w:color w:val="333333"/>
          <w:kern w:val="0"/>
          <w:sz w:val="24"/>
          <w:szCs w:val="24"/>
        </w:rPr>
      </w:pPr>
      <w:r w:rsidRPr="0008316C">
        <w:rPr>
          <w:rFonts w:ascii="仿宋_GB2312" w:eastAsia="仿宋_GB2312" w:hAnsi="仿宋" w:cs="宋体" w:hint="eastAsia"/>
          <w:color w:val="333333"/>
          <w:kern w:val="0"/>
          <w:sz w:val="30"/>
          <w:szCs w:val="30"/>
          <w:shd w:val="clear" w:color="auto" w:fill="FFFFFF"/>
        </w:rPr>
        <w:t xml:space="preserve">　　二、本公告所称涉农贷款，是指《涉农贷款专项统计制度》（银发〔</w:t>
      </w:r>
      <w:r w:rsidRPr="0008316C">
        <w:rPr>
          <w:rFonts w:ascii="仿宋" w:eastAsia="仿宋" w:hAnsi="仿宋" w:cs="宋体" w:hint="eastAsia"/>
          <w:color w:val="333333"/>
          <w:kern w:val="0"/>
          <w:sz w:val="30"/>
          <w:szCs w:val="30"/>
          <w:shd w:val="clear" w:color="auto" w:fill="FFFFFF"/>
        </w:rPr>
        <w:t>2007〕246号）统计的以下贷款：</w:t>
      </w:r>
    </w:p>
    <w:p w:rsidR="0008316C" w:rsidRPr="0008316C" w:rsidRDefault="0008316C" w:rsidP="0008316C">
      <w:pPr>
        <w:widowControl/>
        <w:shd w:val="clear" w:color="auto" w:fill="FFFFFF"/>
        <w:spacing w:line="560" w:lineRule="atLeast"/>
        <w:rPr>
          <w:rFonts w:ascii="Calibri" w:eastAsia="宋体" w:hAnsi="Calibri" w:cs="宋体"/>
          <w:color w:val="333333"/>
          <w:kern w:val="0"/>
          <w:sz w:val="24"/>
          <w:szCs w:val="24"/>
        </w:rPr>
      </w:pPr>
      <w:r w:rsidRPr="0008316C">
        <w:rPr>
          <w:rFonts w:ascii="仿宋_GB2312" w:eastAsia="仿宋_GB2312" w:hAnsi="仿宋" w:cs="宋体" w:hint="eastAsia"/>
          <w:color w:val="333333"/>
          <w:kern w:val="0"/>
          <w:sz w:val="30"/>
          <w:szCs w:val="30"/>
          <w:shd w:val="clear" w:color="auto" w:fill="FFFFFF"/>
        </w:rPr>
        <w:t xml:space="preserve">　　（一）农户贷款；</w:t>
      </w:r>
    </w:p>
    <w:p w:rsidR="0008316C" w:rsidRPr="0008316C" w:rsidRDefault="0008316C" w:rsidP="0008316C">
      <w:pPr>
        <w:widowControl/>
        <w:shd w:val="clear" w:color="auto" w:fill="FFFFFF"/>
        <w:spacing w:line="560" w:lineRule="atLeast"/>
        <w:rPr>
          <w:rFonts w:ascii="Calibri" w:eastAsia="宋体" w:hAnsi="Calibri" w:cs="宋体"/>
          <w:color w:val="333333"/>
          <w:kern w:val="0"/>
          <w:sz w:val="24"/>
          <w:szCs w:val="24"/>
        </w:rPr>
      </w:pPr>
      <w:r w:rsidRPr="0008316C">
        <w:rPr>
          <w:rFonts w:ascii="仿宋_GB2312" w:eastAsia="仿宋_GB2312" w:hAnsi="仿宋" w:cs="宋体" w:hint="eastAsia"/>
          <w:color w:val="333333"/>
          <w:kern w:val="0"/>
          <w:sz w:val="30"/>
          <w:szCs w:val="30"/>
          <w:shd w:val="clear" w:color="auto" w:fill="FFFFFF"/>
        </w:rPr>
        <w:t xml:space="preserve">　　（二）农村企业及各类组织贷款。</w:t>
      </w:r>
    </w:p>
    <w:p w:rsidR="0008316C" w:rsidRPr="0008316C" w:rsidRDefault="0008316C" w:rsidP="0008316C">
      <w:pPr>
        <w:widowControl/>
        <w:shd w:val="clear" w:color="auto" w:fill="FFFFFF"/>
        <w:spacing w:line="560" w:lineRule="atLeast"/>
        <w:rPr>
          <w:rFonts w:ascii="Calibri" w:eastAsia="宋体" w:hAnsi="Calibri" w:cs="宋体"/>
          <w:color w:val="333333"/>
          <w:kern w:val="0"/>
          <w:sz w:val="24"/>
          <w:szCs w:val="24"/>
        </w:rPr>
      </w:pPr>
      <w:r w:rsidRPr="0008316C">
        <w:rPr>
          <w:rFonts w:ascii="仿宋_GB2312" w:eastAsia="仿宋_GB2312" w:hAnsi="仿宋" w:cs="宋体" w:hint="eastAsia"/>
          <w:color w:val="333333"/>
          <w:kern w:val="0"/>
          <w:sz w:val="30"/>
          <w:szCs w:val="30"/>
          <w:shd w:val="clear" w:color="auto" w:fill="FFFFFF"/>
        </w:rPr>
        <w:t xml:space="preserve">　　本条所称农户贷款，是指金融企业发放给农户的所有贷款。农户贷款的判定应以贷款发放时的承</w:t>
      </w:r>
      <w:proofErr w:type="gramStart"/>
      <w:r w:rsidRPr="0008316C">
        <w:rPr>
          <w:rFonts w:ascii="仿宋_GB2312" w:eastAsia="仿宋_GB2312" w:hAnsi="仿宋" w:cs="宋体" w:hint="eastAsia"/>
          <w:color w:val="333333"/>
          <w:kern w:val="0"/>
          <w:sz w:val="30"/>
          <w:szCs w:val="30"/>
          <w:shd w:val="clear" w:color="auto" w:fill="FFFFFF"/>
        </w:rPr>
        <w:t>贷主</w:t>
      </w:r>
      <w:proofErr w:type="gramEnd"/>
      <w:r w:rsidRPr="0008316C">
        <w:rPr>
          <w:rFonts w:ascii="仿宋_GB2312" w:eastAsia="仿宋_GB2312" w:hAnsi="仿宋" w:cs="宋体" w:hint="eastAsia"/>
          <w:color w:val="333333"/>
          <w:kern w:val="0"/>
          <w:sz w:val="30"/>
          <w:szCs w:val="30"/>
          <w:shd w:val="clear" w:color="auto" w:fill="FFFFFF"/>
        </w:rPr>
        <w:t>体是否属于农户为准。农户，是指长期（一年以上）居住在乡镇（不包括城关镇）行政</w:t>
      </w:r>
      <w:r w:rsidRPr="0008316C">
        <w:rPr>
          <w:rFonts w:ascii="仿宋_GB2312" w:eastAsia="仿宋_GB2312" w:hAnsi="仿宋" w:cs="宋体" w:hint="eastAsia"/>
          <w:color w:val="333333"/>
          <w:kern w:val="0"/>
          <w:sz w:val="30"/>
          <w:szCs w:val="30"/>
          <w:shd w:val="clear" w:color="auto" w:fill="FFFFFF"/>
        </w:rPr>
        <w:lastRenderedPageBreak/>
        <w:t>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w:t>
      </w:r>
    </w:p>
    <w:p w:rsidR="0008316C" w:rsidRPr="0008316C" w:rsidRDefault="0008316C" w:rsidP="0008316C">
      <w:pPr>
        <w:widowControl/>
        <w:shd w:val="clear" w:color="auto" w:fill="FFFFFF"/>
        <w:spacing w:line="560" w:lineRule="atLeast"/>
        <w:rPr>
          <w:rFonts w:ascii="Calibri" w:eastAsia="宋体" w:hAnsi="Calibri" w:cs="宋体"/>
          <w:color w:val="333333"/>
          <w:kern w:val="0"/>
          <w:sz w:val="24"/>
          <w:szCs w:val="24"/>
        </w:rPr>
      </w:pPr>
      <w:r w:rsidRPr="0008316C">
        <w:rPr>
          <w:rFonts w:ascii="仿宋_GB2312" w:eastAsia="仿宋_GB2312" w:hAnsi="仿宋" w:cs="宋体" w:hint="eastAsia"/>
          <w:color w:val="333333"/>
          <w:kern w:val="0"/>
          <w:sz w:val="30"/>
          <w:szCs w:val="30"/>
          <w:shd w:val="clear" w:color="auto" w:fill="FFFFFF"/>
        </w:rPr>
        <w:t xml:space="preserve">　　本条所称农村企业及各类组织贷款，是指金融企业发放给注册地位于农村区域的企业及各类组织的所有贷款。农村区域，是指除地级及以上城市的城市行政区及其市辖建制镇之外的区域。</w:t>
      </w:r>
    </w:p>
    <w:p w:rsidR="0008316C" w:rsidRPr="0008316C" w:rsidRDefault="0008316C" w:rsidP="0008316C">
      <w:pPr>
        <w:widowControl/>
        <w:shd w:val="clear" w:color="auto" w:fill="FFFFFF"/>
        <w:spacing w:line="560" w:lineRule="atLeast"/>
        <w:rPr>
          <w:rFonts w:ascii="Calibri" w:eastAsia="宋体" w:hAnsi="Calibri" w:cs="宋体"/>
          <w:color w:val="333333"/>
          <w:kern w:val="0"/>
          <w:sz w:val="24"/>
          <w:szCs w:val="24"/>
        </w:rPr>
      </w:pPr>
      <w:r w:rsidRPr="0008316C">
        <w:rPr>
          <w:rFonts w:ascii="仿宋_GB2312" w:eastAsia="仿宋_GB2312" w:hAnsi="仿宋" w:cs="宋体" w:hint="eastAsia"/>
          <w:color w:val="333333"/>
          <w:kern w:val="0"/>
          <w:sz w:val="30"/>
          <w:szCs w:val="30"/>
          <w:shd w:val="clear" w:color="auto" w:fill="FFFFFF"/>
        </w:rPr>
        <w:t xml:space="preserve">　　三、本公告所称中小企业贷款，是指金融企业对年销售额和资产总额均不超过</w:t>
      </w:r>
      <w:r w:rsidRPr="0008316C">
        <w:rPr>
          <w:rFonts w:ascii="仿宋" w:eastAsia="仿宋" w:hAnsi="仿宋" w:cs="宋体" w:hint="eastAsia"/>
          <w:color w:val="333333"/>
          <w:kern w:val="0"/>
          <w:sz w:val="30"/>
          <w:szCs w:val="30"/>
          <w:shd w:val="clear" w:color="auto" w:fill="FFFFFF"/>
        </w:rPr>
        <w:t>2亿元的企业的贷款。</w:t>
      </w:r>
    </w:p>
    <w:p w:rsidR="0008316C" w:rsidRPr="0008316C" w:rsidRDefault="0008316C" w:rsidP="0008316C">
      <w:pPr>
        <w:widowControl/>
        <w:shd w:val="clear" w:color="auto" w:fill="FFFFFF"/>
        <w:spacing w:line="560" w:lineRule="atLeast"/>
        <w:rPr>
          <w:rFonts w:ascii="Calibri" w:eastAsia="宋体" w:hAnsi="Calibri" w:cs="宋体"/>
          <w:color w:val="333333"/>
          <w:kern w:val="0"/>
          <w:sz w:val="24"/>
          <w:szCs w:val="24"/>
        </w:rPr>
      </w:pPr>
      <w:r w:rsidRPr="0008316C">
        <w:rPr>
          <w:rFonts w:ascii="仿宋_GB2312" w:eastAsia="仿宋_GB2312" w:hAnsi="仿宋" w:cs="宋体" w:hint="eastAsia"/>
          <w:color w:val="333333"/>
          <w:kern w:val="0"/>
          <w:sz w:val="30"/>
          <w:szCs w:val="30"/>
          <w:shd w:val="clear" w:color="auto" w:fill="FFFFFF"/>
        </w:rPr>
        <w:t xml:space="preserve">　　四、金融企业发生的符合条件的涉农贷款和中小企业贷款损失，应先冲减已在税前扣除的贷款损失准备金，不足冲减部分可</w:t>
      </w:r>
      <w:proofErr w:type="gramStart"/>
      <w:r w:rsidRPr="0008316C">
        <w:rPr>
          <w:rFonts w:ascii="仿宋_GB2312" w:eastAsia="仿宋_GB2312" w:hAnsi="仿宋" w:cs="宋体" w:hint="eastAsia"/>
          <w:color w:val="333333"/>
          <w:kern w:val="0"/>
          <w:sz w:val="30"/>
          <w:szCs w:val="30"/>
          <w:shd w:val="clear" w:color="auto" w:fill="FFFFFF"/>
        </w:rPr>
        <w:t>据实在</w:t>
      </w:r>
      <w:proofErr w:type="gramEnd"/>
      <w:r w:rsidRPr="0008316C">
        <w:rPr>
          <w:rFonts w:ascii="仿宋_GB2312" w:eastAsia="仿宋_GB2312" w:hAnsi="仿宋" w:cs="宋体" w:hint="eastAsia"/>
          <w:color w:val="333333"/>
          <w:kern w:val="0"/>
          <w:sz w:val="30"/>
          <w:szCs w:val="30"/>
          <w:shd w:val="clear" w:color="auto" w:fill="FFFFFF"/>
        </w:rPr>
        <w:t>计算应纳税所得额时扣除。</w:t>
      </w:r>
    </w:p>
    <w:p w:rsidR="0008316C" w:rsidRPr="0008316C" w:rsidRDefault="0008316C" w:rsidP="0008316C">
      <w:pPr>
        <w:widowControl/>
        <w:shd w:val="clear" w:color="auto" w:fill="FFFFFF"/>
        <w:spacing w:line="560" w:lineRule="atLeast"/>
        <w:rPr>
          <w:rFonts w:ascii="Calibri" w:eastAsia="宋体" w:hAnsi="Calibri" w:cs="宋体"/>
          <w:color w:val="333333"/>
          <w:kern w:val="0"/>
          <w:sz w:val="24"/>
          <w:szCs w:val="24"/>
        </w:rPr>
      </w:pPr>
      <w:r w:rsidRPr="0008316C">
        <w:rPr>
          <w:rFonts w:ascii="仿宋_GB2312" w:eastAsia="仿宋_GB2312" w:hAnsi="仿宋" w:cs="宋体" w:hint="eastAsia"/>
          <w:color w:val="333333"/>
          <w:kern w:val="0"/>
          <w:sz w:val="30"/>
          <w:szCs w:val="30"/>
          <w:shd w:val="clear" w:color="auto" w:fill="FFFFFF"/>
        </w:rPr>
        <w:t xml:space="preserve">　　五、本公告自</w:t>
      </w:r>
      <w:r w:rsidRPr="0008316C">
        <w:rPr>
          <w:rFonts w:ascii="仿宋" w:eastAsia="仿宋" w:hAnsi="仿宋" w:cs="宋体" w:hint="eastAsia"/>
          <w:color w:val="333333"/>
          <w:kern w:val="0"/>
          <w:sz w:val="30"/>
          <w:szCs w:val="30"/>
          <w:shd w:val="clear" w:color="auto" w:fill="FFFFFF"/>
        </w:rPr>
        <w:t>2019年1月1日起执行至2023年12月31日。</w:t>
      </w:r>
    </w:p>
    <w:p w:rsidR="0008316C" w:rsidRPr="0008316C" w:rsidRDefault="0008316C" w:rsidP="0008316C">
      <w:pPr>
        <w:widowControl/>
        <w:shd w:val="clear" w:color="auto" w:fill="FFFFFF"/>
        <w:spacing w:line="560" w:lineRule="atLeast"/>
        <w:ind w:firstLine="585"/>
        <w:rPr>
          <w:rFonts w:ascii="Calibri" w:eastAsia="宋体" w:hAnsi="Calibri" w:cs="宋体"/>
          <w:color w:val="333333"/>
          <w:kern w:val="0"/>
          <w:sz w:val="24"/>
          <w:szCs w:val="24"/>
        </w:rPr>
      </w:pPr>
      <w:r w:rsidRPr="0008316C">
        <w:rPr>
          <w:rFonts w:ascii="仿宋_GB2312" w:eastAsia="仿宋_GB2312" w:hAnsi="仿宋" w:cs="宋体" w:hint="eastAsia"/>
          <w:color w:val="333333"/>
          <w:kern w:val="0"/>
          <w:sz w:val="30"/>
          <w:szCs w:val="30"/>
          <w:shd w:val="clear" w:color="auto" w:fill="FFFFFF"/>
        </w:rPr>
        <w:t>特此公告。</w:t>
      </w:r>
    </w:p>
    <w:p w:rsidR="0008316C" w:rsidRPr="0008316C" w:rsidRDefault="0008316C" w:rsidP="0008316C">
      <w:pPr>
        <w:widowControl/>
        <w:shd w:val="clear" w:color="auto" w:fill="FFFFFF"/>
        <w:spacing w:line="560" w:lineRule="atLeast"/>
        <w:ind w:firstLine="585"/>
        <w:rPr>
          <w:rFonts w:ascii="Calibri" w:eastAsia="宋体" w:hAnsi="Calibri" w:cs="宋体"/>
          <w:color w:val="333333"/>
          <w:kern w:val="0"/>
          <w:sz w:val="24"/>
          <w:szCs w:val="24"/>
        </w:rPr>
      </w:pPr>
      <w:r w:rsidRPr="0008316C">
        <w:rPr>
          <w:rFonts w:ascii="宋体" w:eastAsia="宋体" w:hAnsi="宋体" w:cs="宋体" w:hint="eastAsia"/>
          <w:color w:val="333333"/>
          <w:kern w:val="0"/>
          <w:sz w:val="30"/>
          <w:szCs w:val="30"/>
          <w:shd w:val="clear" w:color="auto" w:fill="FFFFFF"/>
        </w:rPr>
        <w:t> </w:t>
      </w:r>
    </w:p>
    <w:p w:rsidR="0008316C" w:rsidRPr="0008316C" w:rsidRDefault="0008316C" w:rsidP="0008316C">
      <w:pPr>
        <w:widowControl/>
        <w:shd w:val="clear" w:color="auto" w:fill="FFFFFF"/>
        <w:spacing w:line="560" w:lineRule="atLeast"/>
        <w:ind w:firstLine="585"/>
        <w:rPr>
          <w:rFonts w:ascii="Calibri" w:eastAsia="宋体" w:hAnsi="Calibri" w:cs="宋体"/>
          <w:color w:val="333333"/>
          <w:kern w:val="0"/>
          <w:sz w:val="24"/>
          <w:szCs w:val="24"/>
        </w:rPr>
      </w:pPr>
      <w:r w:rsidRPr="0008316C">
        <w:rPr>
          <w:rFonts w:ascii="宋体" w:eastAsia="宋体" w:hAnsi="宋体" w:cs="宋体" w:hint="eastAsia"/>
          <w:color w:val="333333"/>
          <w:kern w:val="0"/>
          <w:sz w:val="30"/>
          <w:szCs w:val="30"/>
          <w:shd w:val="clear" w:color="auto" w:fill="FFFFFF"/>
        </w:rPr>
        <w:t> </w:t>
      </w:r>
    </w:p>
    <w:p w:rsidR="0008316C" w:rsidRPr="0008316C" w:rsidRDefault="0008316C" w:rsidP="0008316C">
      <w:pPr>
        <w:widowControl/>
        <w:shd w:val="clear" w:color="auto" w:fill="FFFFFF"/>
        <w:spacing w:line="560" w:lineRule="atLeast"/>
        <w:jc w:val="right"/>
        <w:rPr>
          <w:rFonts w:ascii="Calibri" w:eastAsia="宋体" w:hAnsi="Calibri" w:cs="宋体"/>
          <w:color w:val="333333"/>
          <w:kern w:val="0"/>
          <w:sz w:val="24"/>
          <w:szCs w:val="24"/>
        </w:rPr>
      </w:pPr>
      <w:r w:rsidRPr="0008316C">
        <w:rPr>
          <w:rFonts w:ascii="仿宋_GB2312" w:eastAsia="仿宋_GB2312" w:hAnsi="仿宋" w:cs="宋体" w:hint="eastAsia"/>
          <w:color w:val="333333"/>
          <w:kern w:val="0"/>
          <w:sz w:val="30"/>
          <w:szCs w:val="30"/>
          <w:shd w:val="clear" w:color="auto" w:fill="FFFFFF"/>
        </w:rPr>
        <w:t xml:space="preserve">　　财政部</w:t>
      </w:r>
      <w:r w:rsidRPr="0008316C">
        <w:rPr>
          <w:rFonts w:ascii="宋体" w:eastAsia="宋体" w:hAnsi="宋体" w:cs="宋体" w:hint="eastAsia"/>
          <w:color w:val="333333"/>
          <w:kern w:val="0"/>
          <w:sz w:val="30"/>
          <w:szCs w:val="30"/>
          <w:shd w:val="clear" w:color="auto" w:fill="FFFFFF"/>
        </w:rPr>
        <w:t> </w:t>
      </w:r>
      <w:r w:rsidRPr="0008316C">
        <w:rPr>
          <w:rFonts w:ascii="仿宋_GB2312" w:eastAsia="仿宋_GB2312" w:hAnsi="仿宋" w:cs="宋体" w:hint="eastAsia"/>
          <w:color w:val="333333"/>
          <w:kern w:val="0"/>
          <w:sz w:val="30"/>
          <w:szCs w:val="30"/>
          <w:shd w:val="clear" w:color="auto" w:fill="FFFFFF"/>
        </w:rPr>
        <w:t>税务总局</w:t>
      </w:r>
    </w:p>
    <w:p w:rsidR="006D6E36" w:rsidRPr="0008316C" w:rsidRDefault="0008316C" w:rsidP="0008316C">
      <w:pPr>
        <w:widowControl/>
        <w:shd w:val="clear" w:color="auto" w:fill="FFFFFF"/>
        <w:spacing w:line="560" w:lineRule="atLeast"/>
        <w:jc w:val="right"/>
        <w:rPr>
          <w:rFonts w:ascii="Calibri" w:eastAsia="宋体" w:hAnsi="Calibri" w:cs="宋体" w:hint="eastAsia"/>
          <w:color w:val="333333"/>
          <w:kern w:val="0"/>
          <w:sz w:val="24"/>
          <w:szCs w:val="24"/>
        </w:rPr>
      </w:pPr>
      <w:r w:rsidRPr="0008316C">
        <w:rPr>
          <w:rFonts w:ascii="仿宋_GB2312" w:eastAsia="仿宋_GB2312" w:hAnsi="仿宋" w:cs="宋体" w:hint="eastAsia"/>
          <w:color w:val="333333"/>
          <w:kern w:val="0"/>
          <w:sz w:val="30"/>
          <w:szCs w:val="30"/>
          <w:shd w:val="clear" w:color="auto" w:fill="FFFFFF"/>
        </w:rPr>
        <w:t xml:space="preserve">　　</w:t>
      </w:r>
      <w:r w:rsidRPr="0008316C">
        <w:rPr>
          <w:rFonts w:ascii="仿宋" w:eastAsia="仿宋" w:hAnsi="仿宋" w:cs="宋体" w:hint="eastAsia"/>
          <w:color w:val="333333"/>
          <w:kern w:val="0"/>
          <w:sz w:val="30"/>
          <w:szCs w:val="30"/>
          <w:shd w:val="clear" w:color="auto" w:fill="FFFFFF"/>
        </w:rPr>
        <w:t>2019年8月23日</w:t>
      </w:r>
    </w:p>
    <w:sectPr w:rsidR="006D6E36" w:rsidRPr="0008316C" w:rsidSect="006D6E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316C"/>
    <w:rsid w:val="0008316C"/>
    <w:rsid w:val="006D6E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E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316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8316C"/>
    <w:rPr>
      <w:color w:val="0000FF"/>
      <w:u w:val="single"/>
    </w:rPr>
  </w:style>
</w:styles>
</file>

<file path=word/webSettings.xml><?xml version="1.0" encoding="utf-8"?>
<w:webSettings xmlns:r="http://schemas.openxmlformats.org/officeDocument/2006/relationships" xmlns:w="http://schemas.openxmlformats.org/wordprocessingml/2006/main">
  <w:divs>
    <w:div w:id="171184489">
      <w:bodyDiv w:val="1"/>
      <w:marLeft w:val="0"/>
      <w:marRight w:val="0"/>
      <w:marTop w:val="0"/>
      <w:marBottom w:val="0"/>
      <w:divBdr>
        <w:top w:val="none" w:sz="0" w:space="0" w:color="auto"/>
        <w:left w:val="none" w:sz="0" w:space="0" w:color="auto"/>
        <w:bottom w:val="none" w:sz="0" w:space="0" w:color="auto"/>
        <w:right w:val="none" w:sz="0" w:space="0" w:color="auto"/>
      </w:divBdr>
      <w:divsChild>
        <w:div w:id="1484850133">
          <w:marLeft w:val="0"/>
          <w:marRight w:val="0"/>
          <w:marTop w:val="0"/>
          <w:marBottom w:val="0"/>
          <w:divBdr>
            <w:top w:val="none" w:sz="0" w:space="0" w:color="auto"/>
            <w:left w:val="none" w:sz="0" w:space="0" w:color="auto"/>
            <w:bottom w:val="none" w:sz="0" w:space="0" w:color="auto"/>
            <w:right w:val="none" w:sz="0" w:space="0" w:color="auto"/>
          </w:divBdr>
        </w:div>
        <w:div w:id="1331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815</Characters>
  <Application>Microsoft Office Word</Application>
  <DocSecurity>0</DocSecurity>
  <Lines>6</Lines>
  <Paragraphs>1</Paragraphs>
  <ScaleCrop>false</ScaleCrop>
  <Company>ITianKong.Com</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1</cp:revision>
  <dcterms:created xsi:type="dcterms:W3CDTF">2019-11-01T02:02:00Z</dcterms:created>
  <dcterms:modified xsi:type="dcterms:W3CDTF">2019-11-01T02:02:00Z</dcterms:modified>
</cp:coreProperties>
</file>