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勐海县</w:t>
      </w:r>
      <w:r>
        <w:rPr>
          <w:rFonts w:hint="eastAsia" w:ascii="方正小标宋_GBK" w:hAnsi="方正小标宋_GBK" w:eastAsia="方正小标宋_GBK" w:cs="方正小标宋_GBK"/>
          <w:b w:val="0"/>
          <w:bCs w:val="0"/>
          <w:sz w:val="44"/>
          <w:szCs w:val="44"/>
          <w:lang w:val="en-US" w:eastAsia="zh-CN"/>
        </w:rPr>
        <w:t>2021</w:t>
      </w:r>
      <w:r>
        <w:rPr>
          <w:rFonts w:hint="eastAsia" w:ascii="方正小标宋_GBK" w:hAnsi="方正小标宋_GBK" w:eastAsia="方正小标宋_GBK" w:cs="方正小标宋_GBK"/>
          <w:b w:val="0"/>
          <w:bCs w:val="0"/>
          <w:sz w:val="44"/>
          <w:szCs w:val="44"/>
        </w:rPr>
        <w:t>年转移支付预算情况说明</w:t>
      </w:r>
    </w:p>
    <w:p>
      <w:pPr>
        <w:jc w:val="center"/>
        <w:rPr>
          <w:rFonts w:hint="default" w:ascii="Times New Roman" w:hAnsi="Times New Roman" w:cs="Times New Roman"/>
          <w:sz w:val="44"/>
          <w:szCs w:val="44"/>
        </w:rPr>
      </w:pPr>
    </w:p>
    <w:p>
      <w:pPr>
        <w:spacing w:line="58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1、一般公共预算。预计</w:t>
      </w:r>
      <w:r>
        <w:rPr>
          <w:rFonts w:hint="eastAsia" w:eastAsia="仿宋" w:cs="Times New Roman"/>
          <w:sz w:val="32"/>
          <w:szCs w:val="32"/>
          <w:lang w:val="en-US" w:eastAsia="zh-CN"/>
        </w:rPr>
        <w:t>2021年</w:t>
      </w:r>
      <w:r>
        <w:rPr>
          <w:rFonts w:hint="default" w:ascii="Times New Roman" w:hAnsi="Times New Roman" w:eastAsia="仿宋" w:cs="Times New Roman"/>
          <w:sz w:val="32"/>
          <w:szCs w:val="32"/>
        </w:rPr>
        <w:t>上级转移支付收入</w:t>
      </w:r>
      <w:r>
        <w:rPr>
          <w:rFonts w:hint="eastAsia" w:eastAsia="仿宋" w:cs="Times New Roman"/>
          <w:sz w:val="32"/>
          <w:szCs w:val="32"/>
          <w:lang w:val="en-US" w:eastAsia="zh-CN"/>
        </w:rPr>
        <w:t>251,531</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sz w:val="32"/>
          <w:szCs w:val="32"/>
        </w:rPr>
        <w:t>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20</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增加1,393</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增长0.56</w:t>
      </w:r>
      <w:r>
        <w:rPr>
          <w:rFonts w:hint="default" w:ascii="Times New Roman" w:hAnsi="Times New Roman" w:eastAsia="仿宋" w:cs="Times New Roman"/>
          <w:sz w:val="32"/>
          <w:szCs w:val="32"/>
        </w:rPr>
        <w:t>%。其中：返还性收入</w:t>
      </w:r>
      <w:r>
        <w:rPr>
          <w:rFonts w:hint="eastAsia" w:eastAsia="仿宋" w:cs="Times New Roman"/>
          <w:sz w:val="32"/>
          <w:szCs w:val="32"/>
          <w:lang w:val="en-US" w:eastAsia="zh-CN"/>
        </w:rPr>
        <w:t>5531</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w:t>
      </w:r>
      <w:r>
        <w:rPr>
          <w:rFonts w:hint="eastAsia" w:eastAsia="仿宋" w:cs="Times New Roman"/>
          <w:sz w:val="32"/>
          <w:szCs w:val="32"/>
          <w:lang w:val="en-US" w:eastAsia="zh-CN"/>
        </w:rPr>
        <w:t>与</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20</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持平</w:t>
      </w:r>
      <w:r>
        <w:rPr>
          <w:rFonts w:hint="default" w:ascii="Times New Roman" w:hAnsi="Times New Roman" w:eastAsia="仿宋" w:cs="Times New Roman"/>
          <w:sz w:val="32"/>
          <w:szCs w:val="32"/>
        </w:rPr>
        <w:t>；一般性转移收入</w:t>
      </w:r>
      <w:r>
        <w:rPr>
          <w:rFonts w:hint="eastAsia" w:eastAsia="仿宋" w:cs="Times New Roman"/>
          <w:sz w:val="32"/>
          <w:szCs w:val="32"/>
          <w:lang w:val="en-US" w:eastAsia="zh-CN"/>
        </w:rPr>
        <w:t>209,000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20</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lang w:eastAsia="zh-CN"/>
        </w:rPr>
        <w:t>增加</w:t>
      </w:r>
      <w:r>
        <w:rPr>
          <w:rFonts w:hint="eastAsia" w:eastAsia="仿宋" w:cs="Times New Roman"/>
          <w:sz w:val="32"/>
          <w:szCs w:val="32"/>
          <w:lang w:val="en-US" w:eastAsia="zh-CN"/>
        </w:rPr>
        <w:t>834</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增长</w:t>
      </w:r>
      <w:r>
        <w:rPr>
          <w:rFonts w:hint="eastAsia" w:eastAsia="仿宋" w:cs="Times New Roman"/>
          <w:sz w:val="32"/>
          <w:szCs w:val="32"/>
          <w:lang w:val="en-US" w:eastAsia="zh-CN"/>
        </w:rPr>
        <w:t>0.4%</w:t>
      </w:r>
      <w:r>
        <w:rPr>
          <w:rFonts w:hint="default" w:ascii="Times New Roman" w:hAnsi="Times New Roman" w:eastAsia="仿宋" w:cs="Times New Roman"/>
          <w:sz w:val="32"/>
          <w:szCs w:val="32"/>
        </w:rPr>
        <w:t>；专项转移支付收入</w:t>
      </w:r>
      <w:r>
        <w:rPr>
          <w:rFonts w:hint="eastAsia" w:eastAsia="仿宋" w:cs="Times New Roman"/>
          <w:sz w:val="32"/>
          <w:szCs w:val="32"/>
          <w:lang w:val="en-US" w:eastAsia="zh-CN"/>
        </w:rPr>
        <w:t>37,</w:t>
      </w:r>
      <w:r>
        <w:rPr>
          <w:rFonts w:hint="default" w:ascii="Times New Roman" w:hAnsi="Times New Roman" w:eastAsia="仿宋" w:cs="Times New Roman"/>
          <w:sz w:val="32"/>
          <w:szCs w:val="32"/>
          <w:lang w:val="en-US" w:eastAsia="zh-CN"/>
        </w:rPr>
        <w:t>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20</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增加559</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增长</w:t>
      </w:r>
      <w:r>
        <w:rPr>
          <w:rFonts w:hint="eastAsia" w:eastAsia="仿宋" w:cs="Times New Roman"/>
          <w:sz w:val="32"/>
          <w:szCs w:val="32"/>
          <w:lang w:val="en-US" w:eastAsia="zh-CN"/>
        </w:rPr>
        <w:t>1.53</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color w:val="auto"/>
          <w:sz w:val="32"/>
          <w:szCs w:val="32"/>
        </w:rPr>
        <w:t>2、政府性基金</w:t>
      </w:r>
      <w:r>
        <w:rPr>
          <w:rFonts w:hint="default" w:ascii="Times New Roman" w:hAnsi="Times New Roman" w:eastAsia="仿宋" w:cs="Times New Roman"/>
          <w:sz w:val="32"/>
          <w:szCs w:val="32"/>
        </w:rPr>
        <w:t>预算。</w:t>
      </w:r>
      <w:r>
        <w:rPr>
          <w:rFonts w:hint="eastAsia" w:eastAsia="仿宋" w:cs="Times New Roman"/>
          <w:sz w:val="32"/>
          <w:szCs w:val="32"/>
          <w:lang w:val="en-US" w:eastAsia="zh-CN"/>
        </w:rPr>
        <w:t>预计</w:t>
      </w: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1</w:t>
      </w:r>
      <w:r>
        <w:rPr>
          <w:rFonts w:hint="default" w:ascii="Times New Roman" w:hAnsi="Times New Roman" w:eastAsia="仿宋" w:cs="Times New Roman"/>
          <w:sz w:val="32"/>
          <w:szCs w:val="32"/>
        </w:rPr>
        <w:t>年上级转移性收入</w:t>
      </w:r>
      <w:r>
        <w:rPr>
          <w:rFonts w:hint="eastAsia" w:eastAsia="仿宋" w:cs="Times New Roman"/>
          <w:sz w:val="32"/>
          <w:szCs w:val="32"/>
          <w:lang w:val="en-US" w:eastAsia="zh-CN"/>
        </w:rPr>
        <w:t>2,</w:t>
      </w:r>
      <w:r>
        <w:rPr>
          <w:rFonts w:hint="default" w:ascii="Times New Roman" w:hAnsi="Times New Roman" w:eastAsia="仿宋" w:cs="Times New Roman"/>
          <w:sz w:val="32"/>
          <w:szCs w:val="32"/>
          <w:lang w:val="en-US" w:eastAsia="zh-CN"/>
        </w:rPr>
        <w:t>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20</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减少28,489</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下降93.44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3、对下转移支付情况。勐海县在编制年度财政预算时将县属各乡镇及站所纳入部门预算管理，上级转移支付资金由县级统筹安排，没有直接向下级财政安排县对乡镇转移支付资金预算。</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5280" w:firstLineChars="16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勐海县财政局</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1</w:t>
      </w:r>
      <w:r>
        <w:rPr>
          <w:rFonts w:hint="default" w:ascii="Times New Roman" w:hAnsi="Times New Roman" w:eastAsia="仿宋" w:cs="Times New Roman"/>
          <w:sz w:val="32"/>
          <w:szCs w:val="32"/>
        </w:rPr>
        <w:t>年</w:t>
      </w:r>
      <w:r>
        <w:rPr>
          <w:rFonts w:hint="eastAsia" w:eastAsia="仿宋" w:cs="Times New Roman"/>
          <w:sz w:val="32"/>
          <w:szCs w:val="32"/>
          <w:lang w:val="en-US" w:eastAsia="zh-CN"/>
        </w:rPr>
        <w:t>5</w:t>
      </w:r>
      <w:r>
        <w:rPr>
          <w:rFonts w:hint="default" w:ascii="Times New Roman" w:hAnsi="Times New Roman" w:eastAsia="仿宋" w:cs="Times New Roman"/>
          <w:sz w:val="32"/>
          <w:szCs w:val="32"/>
        </w:rPr>
        <w:t>月</w:t>
      </w:r>
      <w:r>
        <w:rPr>
          <w:rFonts w:hint="eastAsia" w:eastAsia="仿宋" w:cs="Times New Roman"/>
          <w:sz w:val="32"/>
          <w:szCs w:val="32"/>
          <w:lang w:val="en-US" w:eastAsia="zh-CN"/>
        </w:rPr>
        <w:t>7</w:t>
      </w:r>
      <w:bookmarkStart w:id="0" w:name="_GoBack"/>
      <w:bookmarkEnd w:id="0"/>
      <w:r>
        <w:rPr>
          <w:rFonts w:hint="default" w:ascii="Times New Roman" w:hAnsi="Times New Roman" w:eastAsia="仿宋"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3AD"/>
    <w:rsid w:val="00003608"/>
    <w:rsid w:val="00005E78"/>
    <w:rsid w:val="000070C2"/>
    <w:rsid w:val="000324C2"/>
    <w:rsid w:val="00037074"/>
    <w:rsid w:val="00050EB2"/>
    <w:rsid w:val="000551B5"/>
    <w:rsid w:val="0006308F"/>
    <w:rsid w:val="00065091"/>
    <w:rsid w:val="000675BE"/>
    <w:rsid w:val="000A436D"/>
    <w:rsid w:val="000B36BB"/>
    <w:rsid w:val="000F0025"/>
    <w:rsid w:val="000F69E2"/>
    <w:rsid w:val="0011134D"/>
    <w:rsid w:val="001837AE"/>
    <w:rsid w:val="001A3AAF"/>
    <w:rsid w:val="001B47D5"/>
    <w:rsid w:val="001C0836"/>
    <w:rsid w:val="001E2150"/>
    <w:rsid w:val="001F48E8"/>
    <w:rsid w:val="001F4ED0"/>
    <w:rsid w:val="00205954"/>
    <w:rsid w:val="002062FC"/>
    <w:rsid w:val="00225BA6"/>
    <w:rsid w:val="0023699B"/>
    <w:rsid w:val="00293B16"/>
    <w:rsid w:val="002A554A"/>
    <w:rsid w:val="002B1591"/>
    <w:rsid w:val="0032515A"/>
    <w:rsid w:val="0033049E"/>
    <w:rsid w:val="0034691A"/>
    <w:rsid w:val="0035124E"/>
    <w:rsid w:val="0036306C"/>
    <w:rsid w:val="003653F7"/>
    <w:rsid w:val="003674F9"/>
    <w:rsid w:val="00376D94"/>
    <w:rsid w:val="00391B53"/>
    <w:rsid w:val="00394D3D"/>
    <w:rsid w:val="003E0345"/>
    <w:rsid w:val="003E6BD2"/>
    <w:rsid w:val="00404F14"/>
    <w:rsid w:val="00421B64"/>
    <w:rsid w:val="004405B0"/>
    <w:rsid w:val="0047556E"/>
    <w:rsid w:val="004D1B85"/>
    <w:rsid w:val="004D2A28"/>
    <w:rsid w:val="004E6022"/>
    <w:rsid w:val="004E740B"/>
    <w:rsid w:val="00502611"/>
    <w:rsid w:val="005365A1"/>
    <w:rsid w:val="0055209B"/>
    <w:rsid w:val="00553344"/>
    <w:rsid w:val="00563F0F"/>
    <w:rsid w:val="00564215"/>
    <w:rsid w:val="00564D97"/>
    <w:rsid w:val="0057057F"/>
    <w:rsid w:val="005721CA"/>
    <w:rsid w:val="00580D2E"/>
    <w:rsid w:val="00582ED7"/>
    <w:rsid w:val="00595553"/>
    <w:rsid w:val="005B047D"/>
    <w:rsid w:val="00610FA9"/>
    <w:rsid w:val="006170FE"/>
    <w:rsid w:val="0062645F"/>
    <w:rsid w:val="00633184"/>
    <w:rsid w:val="00665E6F"/>
    <w:rsid w:val="00681CCC"/>
    <w:rsid w:val="006A3254"/>
    <w:rsid w:val="006D3F51"/>
    <w:rsid w:val="006E1EA1"/>
    <w:rsid w:val="006E51C7"/>
    <w:rsid w:val="00734474"/>
    <w:rsid w:val="00743FA8"/>
    <w:rsid w:val="0074779A"/>
    <w:rsid w:val="007527DC"/>
    <w:rsid w:val="0076604E"/>
    <w:rsid w:val="00774347"/>
    <w:rsid w:val="00785501"/>
    <w:rsid w:val="00787968"/>
    <w:rsid w:val="007912BC"/>
    <w:rsid w:val="00792471"/>
    <w:rsid w:val="007B48BF"/>
    <w:rsid w:val="007C36E0"/>
    <w:rsid w:val="007D3C61"/>
    <w:rsid w:val="007E218E"/>
    <w:rsid w:val="007F09F9"/>
    <w:rsid w:val="00823EC1"/>
    <w:rsid w:val="008665A3"/>
    <w:rsid w:val="008A66D3"/>
    <w:rsid w:val="008C17E8"/>
    <w:rsid w:val="008C1BE3"/>
    <w:rsid w:val="00901EE3"/>
    <w:rsid w:val="00905DCD"/>
    <w:rsid w:val="00906427"/>
    <w:rsid w:val="009425DC"/>
    <w:rsid w:val="00946769"/>
    <w:rsid w:val="009627AE"/>
    <w:rsid w:val="00970A7C"/>
    <w:rsid w:val="00982B3B"/>
    <w:rsid w:val="00997ADF"/>
    <w:rsid w:val="009C7A34"/>
    <w:rsid w:val="009E20A2"/>
    <w:rsid w:val="009F202C"/>
    <w:rsid w:val="00A31F21"/>
    <w:rsid w:val="00A35CAF"/>
    <w:rsid w:val="00A4790C"/>
    <w:rsid w:val="00A70C5F"/>
    <w:rsid w:val="00A761FE"/>
    <w:rsid w:val="00A86801"/>
    <w:rsid w:val="00AE1EBF"/>
    <w:rsid w:val="00B07DEF"/>
    <w:rsid w:val="00B1533E"/>
    <w:rsid w:val="00B54600"/>
    <w:rsid w:val="00B62EC8"/>
    <w:rsid w:val="00B772BD"/>
    <w:rsid w:val="00B83495"/>
    <w:rsid w:val="00BD2DDD"/>
    <w:rsid w:val="00C57107"/>
    <w:rsid w:val="00C65F6D"/>
    <w:rsid w:val="00C83541"/>
    <w:rsid w:val="00CB0CEB"/>
    <w:rsid w:val="00CD05E4"/>
    <w:rsid w:val="00CD7F02"/>
    <w:rsid w:val="00D04217"/>
    <w:rsid w:val="00D11592"/>
    <w:rsid w:val="00D41D97"/>
    <w:rsid w:val="00D53504"/>
    <w:rsid w:val="00D72158"/>
    <w:rsid w:val="00D932C5"/>
    <w:rsid w:val="00DA79B2"/>
    <w:rsid w:val="00DB792F"/>
    <w:rsid w:val="00DC2A07"/>
    <w:rsid w:val="00DF11FC"/>
    <w:rsid w:val="00E06BA2"/>
    <w:rsid w:val="00E33B05"/>
    <w:rsid w:val="00E4476B"/>
    <w:rsid w:val="00E44B39"/>
    <w:rsid w:val="00E71089"/>
    <w:rsid w:val="00E91D9A"/>
    <w:rsid w:val="00E93C3F"/>
    <w:rsid w:val="00EC53AD"/>
    <w:rsid w:val="00EE01DC"/>
    <w:rsid w:val="00EF48E9"/>
    <w:rsid w:val="00F22CC1"/>
    <w:rsid w:val="00F27F28"/>
    <w:rsid w:val="00F3062D"/>
    <w:rsid w:val="00F3297C"/>
    <w:rsid w:val="00F51EC5"/>
    <w:rsid w:val="00F6122E"/>
    <w:rsid w:val="00F87FD2"/>
    <w:rsid w:val="00FA5467"/>
    <w:rsid w:val="00FB0F0F"/>
    <w:rsid w:val="00FD62EA"/>
    <w:rsid w:val="00FE2342"/>
    <w:rsid w:val="00FF1728"/>
    <w:rsid w:val="027B47C2"/>
    <w:rsid w:val="02CB3506"/>
    <w:rsid w:val="02D25CE1"/>
    <w:rsid w:val="04E94485"/>
    <w:rsid w:val="05A072C1"/>
    <w:rsid w:val="06854099"/>
    <w:rsid w:val="06B00C00"/>
    <w:rsid w:val="09FC3ACA"/>
    <w:rsid w:val="0C141588"/>
    <w:rsid w:val="0E667767"/>
    <w:rsid w:val="116A28E8"/>
    <w:rsid w:val="1272581C"/>
    <w:rsid w:val="12E9057D"/>
    <w:rsid w:val="131020E5"/>
    <w:rsid w:val="14815796"/>
    <w:rsid w:val="1762623D"/>
    <w:rsid w:val="18197ACC"/>
    <w:rsid w:val="199F607F"/>
    <w:rsid w:val="19AE1748"/>
    <w:rsid w:val="1B442E3B"/>
    <w:rsid w:val="1B7767E4"/>
    <w:rsid w:val="1BF1591F"/>
    <w:rsid w:val="20C763BD"/>
    <w:rsid w:val="219106F7"/>
    <w:rsid w:val="234C1A09"/>
    <w:rsid w:val="25842792"/>
    <w:rsid w:val="267A22F7"/>
    <w:rsid w:val="28D255D1"/>
    <w:rsid w:val="30287F11"/>
    <w:rsid w:val="31886D0B"/>
    <w:rsid w:val="32DB1C58"/>
    <w:rsid w:val="33E16E9F"/>
    <w:rsid w:val="36AE5750"/>
    <w:rsid w:val="36E27C8F"/>
    <w:rsid w:val="38FD091E"/>
    <w:rsid w:val="3A447FE8"/>
    <w:rsid w:val="3A7671B2"/>
    <w:rsid w:val="3AAC148B"/>
    <w:rsid w:val="3AD7573A"/>
    <w:rsid w:val="3D6F4D2F"/>
    <w:rsid w:val="3F574E01"/>
    <w:rsid w:val="41B827D3"/>
    <w:rsid w:val="45024254"/>
    <w:rsid w:val="45DD7B39"/>
    <w:rsid w:val="475C4C62"/>
    <w:rsid w:val="4939012A"/>
    <w:rsid w:val="4A6C408C"/>
    <w:rsid w:val="4B14469E"/>
    <w:rsid w:val="4E391269"/>
    <w:rsid w:val="4EDE7C50"/>
    <w:rsid w:val="4FFD4D52"/>
    <w:rsid w:val="514B7DAA"/>
    <w:rsid w:val="51B83615"/>
    <w:rsid w:val="52754939"/>
    <w:rsid w:val="530275C1"/>
    <w:rsid w:val="54C4406E"/>
    <w:rsid w:val="55E64484"/>
    <w:rsid w:val="5681026F"/>
    <w:rsid w:val="57CA19C3"/>
    <w:rsid w:val="5A0F6AD0"/>
    <w:rsid w:val="5A4F1894"/>
    <w:rsid w:val="5B74497B"/>
    <w:rsid w:val="5C5C1297"/>
    <w:rsid w:val="60826B1C"/>
    <w:rsid w:val="60B0101B"/>
    <w:rsid w:val="61D828BB"/>
    <w:rsid w:val="62D7474B"/>
    <w:rsid w:val="69757459"/>
    <w:rsid w:val="6AEA0745"/>
    <w:rsid w:val="6BB94E6D"/>
    <w:rsid w:val="6BD43E31"/>
    <w:rsid w:val="6C1F11BD"/>
    <w:rsid w:val="6CAF0B6F"/>
    <w:rsid w:val="6FF044AD"/>
    <w:rsid w:val="70EB23AF"/>
    <w:rsid w:val="70F10948"/>
    <w:rsid w:val="72504EDB"/>
    <w:rsid w:val="72700171"/>
    <w:rsid w:val="73DB3FB6"/>
    <w:rsid w:val="762B72DB"/>
    <w:rsid w:val="775F26D3"/>
    <w:rsid w:val="792839A1"/>
    <w:rsid w:val="79680194"/>
    <w:rsid w:val="7EEB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431</Words>
  <Characters>2457</Characters>
  <Lines>20</Lines>
  <Paragraphs>5</Paragraphs>
  <TotalTime>12</TotalTime>
  <ScaleCrop>false</ScaleCrop>
  <LinksUpToDate>false</LinksUpToDate>
  <CharactersWithSpaces>2883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2018-02-27T09:46:00Z</dcterms:created>
  <dc:creator>Windows 用户</dc:creator>
  <cp:lastModifiedBy>lenovo</cp:lastModifiedBy>
  <dcterms:modified xsi:type="dcterms:W3CDTF">2021-05-07T06:51:04Z</dcterms:modified>
  <dc:title>勐海县2019年政府预算公开说明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