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hSpace="180" w:wrap="around" w:vAnchor="text" w:hAnchor="margin" w:xAlign="center" w:y="165"/>
        <w:widowControl/>
        <w:overflowPunct w:val="0"/>
        <w:autoSpaceDE w:val="0"/>
        <w:autoSpaceDN w:val="0"/>
        <w:spacing w:line="700" w:lineRule="exact"/>
        <w:rPr>
          <w:rFonts w:ascii="仿宋" w:hAnsi="仿宋" w:eastAsia="仿宋"/>
          <w:b/>
          <w:sz w:val="36"/>
          <w:szCs w:val="36"/>
          <w:highlight w:val="none"/>
        </w:rPr>
      </w:pPr>
    </w:p>
    <w:p>
      <w:pPr>
        <w:framePr w:hSpace="180" w:wrap="around" w:vAnchor="text" w:hAnchor="margin" w:xAlign="center" w:y="165"/>
        <w:jc w:val="center"/>
        <w:rPr>
          <w:rFonts w:ascii="宋体" w:hAnsi="宋体" w:cs="仿宋_GB2312"/>
          <w:b/>
          <w:spacing w:val="40"/>
          <w:sz w:val="44"/>
          <w:szCs w:val="44"/>
          <w:highlight w:val="none"/>
        </w:rPr>
      </w:pPr>
      <w:r>
        <w:rPr>
          <w:rFonts w:hint="eastAsia" w:ascii="方正小标宋_GBK" w:hAnsi="方正小标宋_GBK" w:eastAsia="方正小标宋_GBK" w:cs="方正小标宋_GBK"/>
          <w:bCs/>
          <w:sz w:val="44"/>
          <w:szCs w:val="44"/>
          <w:highlight w:val="none"/>
        </w:rPr>
        <w:t>勐海县县本级财政项目绩效评价报告</w:t>
      </w:r>
    </w:p>
    <w:p>
      <w:pPr>
        <w:framePr w:hSpace="180" w:wrap="around" w:vAnchor="text" w:hAnchor="margin" w:xAlign="center" w:y="165"/>
        <w:jc w:val="center"/>
        <w:rPr>
          <w:rFonts w:ascii="宋体" w:hAnsi="宋体" w:cs="仿宋_GB2312"/>
          <w:b/>
          <w:spacing w:val="40"/>
          <w:sz w:val="44"/>
          <w:szCs w:val="44"/>
          <w:highlight w:val="none"/>
        </w:rPr>
      </w:pPr>
    </w:p>
    <w:p>
      <w:pPr>
        <w:framePr w:hSpace="180" w:wrap="around" w:vAnchor="text" w:hAnchor="margin" w:xAlign="center" w:y="165"/>
        <w:jc w:val="center"/>
        <w:rPr>
          <w:rFonts w:eastAsia="方正仿宋_GBK"/>
          <w:color w:val="000000"/>
          <w:kern w:val="0"/>
          <w:sz w:val="30"/>
          <w:szCs w:val="30"/>
          <w:highlight w:val="none"/>
        </w:rPr>
      </w:pPr>
      <w:r>
        <w:rPr>
          <w:rFonts w:eastAsia="方正仿宋_GBK"/>
          <w:color w:val="000000"/>
          <w:kern w:val="0"/>
          <w:sz w:val="30"/>
          <w:szCs w:val="30"/>
          <w:highlight w:val="none"/>
        </w:rPr>
        <w:t>云信立审字</w:t>
      </w:r>
      <w:r>
        <w:rPr>
          <w:rFonts w:hint="eastAsia" w:eastAsia="方正仿宋_GBK"/>
          <w:color w:val="000000"/>
          <w:kern w:val="0"/>
          <w:sz w:val="30"/>
          <w:szCs w:val="30"/>
          <w:highlight w:val="none"/>
        </w:rPr>
        <w:t>[202</w:t>
      </w:r>
      <w:r>
        <w:rPr>
          <w:rFonts w:hint="eastAsia" w:eastAsia="方正仿宋_GBK"/>
          <w:color w:val="auto"/>
          <w:kern w:val="0"/>
          <w:sz w:val="30"/>
          <w:szCs w:val="30"/>
          <w:highlight w:val="none"/>
        </w:rPr>
        <w:t>2]第</w:t>
      </w:r>
      <w:r>
        <w:rPr>
          <w:rFonts w:hint="eastAsia" w:eastAsia="方正仿宋_GBK"/>
          <w:color w:val="auto"/>
          <w:kern w:val="0"/>
          <w:sz w:val="30"/>
          <w:szCs w:val="30"/>
          <w:highlight w:val="none"/>
          <w:lang w:val="en-US" w:eastAsia="zh-CN"/>
        </w:rPr>
        <w:t>263</w:t>
      </w:r>
      <w:bookmarkStart w:id="52" w:name="_GoBack"/>
      <w:bookmarkEnd w:id="52"/>
      <w:r>
        <w:rPr>
          <w:rFonts w:hint="eastAsia" w:eastAsia="方正仿宋_GBK"/>
          <w:color w:val="auto"/>
          <w:kern w:val="0"/>
          <w:sz w:val="30"/>
          <w:szCs w:val="30"/>
          <w:highlight w:val="none"/>
        </w:rPr>
        <w:t>号</w:t>
      </w:r>
    </w:p>
    <w:p>
      <w:pPr>
        <w:framePr w:hSpace="180" w:wrap="around" w:vAnchor="text" w:hAnchor="margin" w:xAlign="center" w:y="165"/>
        <w:jc w:val="center"/>
        <w:rPr>
          <w:rFonts w:ascii="宋体" w:hAnsi="宋体" w:cs="仿宋_GB2312"/>
          <w:b/>
          <w:spacing w:val="40"/>
          <w:sz w:val="44"/>
          <w:szCs w:val="44"/>
          <w:highlight w:val="none"/>
        </w:rPr>
      </w:pPr>
    </w:p>
    <w:p>
      <w:pPr>
        <w:framePr w:hSpace="180" w:wrap="around" w:vAnchor="text" w:hAnchor="margin" w:xAlign="center" w:y="165"/>
        <w:jc w:val="center"/>
        <w:rPr>
          <w:rFonts w:ascii="宋体" w:hAnsi="宋体" w:cs="仿宋_GB2312"/>
          <w:b/>
          <w:sz w:val="44"/>
          <w:szCs w:val="44"/>
          <w:highlight w:val="none"/>
        </w:rPr>
      </w:pPr>
    </w:p>
    <w:p>
      <w:pPr>
        <w:framePr w:hSpace="180" w:wrap="around" w:vAnchor="text" w:hAnchor="margin" w:xAlign="center" w:y="165"/>
        <w:jc w:val="center"/>
        <w:rPr>
          <w:rFonts w:ascii="宋体" w:hAnsi="宋体" w:cs="仿宋_GB2312"/>
          <w:b/>
          <w:sz w:val="44"/>
          <w:szCs w:val="44"/>
          <w:highlight w:val="none"/>
        </w:rPr>
      </w:pPr>
    </w:p>
    <w:p>
      <w:pPr>
        <w:framePr w:hSpace="180" w:wrap="around" w:vAnchor="text" w:hAnchor="margin" w:xAlign="center" w:y="165"/>
        <w:jc w:val="center"/>
        <w:rPr>
          <w:rFonts w:ascii="宋体" w:hAnsi="宋体" w:cs="仿宋_GB2312"/>
          <w:b/>
          <w:sz w:val="44"/>
          <w:szCs w:val="44"/>
          <w:highlight w:val="none"/>
        </w:rPr>
      </w:pPr>
    </w:p>
    <w:p>
      <w:pPr>
        <w:framePr w:hSpace="180" w:wrap="around" w:vAnchor="text" w:hAnchor="margin" w:xAlign="center" w:y="165"/>
        <w:jc w:val="center"/>
        <w:rPr>
          <w:rFonts w:ascii="宋体" w:hAnsi="宋体" w:cs="仿宋_GB2312"/>
          <w:b/>
          <w:sz w:val="44"/>
          <w:szCs w:val="44"/>
          <w:highlight w:val="none"/>
        </w:rPr>
      </w:pPr>
    </w:p>
    <w:p>
      <w:pPr>
        <w:framePr w:hSpace="180" w:wrap="around" w:vAnchor="text" w:hAnchor="margin" w:xAlign="center" w:y="165"/>
        <w:jc w:val="center"/>
        <w:rPr>
          <w:rFonts w:ascii="宋体" w:hAnsi="宋体" w:cs="仿宋_GB2312"/>
          <w:b/>
          <w:sz w:val="44"/>
          <w:szCs w:val="44"/>
          <w:highlight w:val="none"/>
        </w:rPr>
      </w:pPr>
    </w:p>
    <w:p>
      <w:pPr>
        <w:framePr w:hSpace="180" w:wrap="around" w:vAnchor="text" w:hAnchor="margin" w:xAlign="center" w:y="165"/>
        <w:snapToGrid w:val="0"/>
        <w:ind w:firstLine="1280"/>
        <w:rPr>
          <w:rFonts w:eastAsia="方正仿宋_GBK"/>
          <w:bCs/>
          <w:sz w:val="32"/>
          <w:szCs w:val="32"/>
          <w:highlight w:val="none"/>
        </w:rPr>
      </w:pPr>
      <w:r>
        <w:rPr>
          <w:rFonts w:eastAsia="方正仿宋_GBK"/>
          <w:color w:val="000000"/>
          <w:kern w:val="0"/>
          <w:sz w:val="32"/>
          <w:szCs w:val="32"/>
          <w:highlight w:val="none"/>
        </w:rPr>
        <w:t>项目名称：</w:t>
      </w:r>
      <w:r>
        <w:rPr>
          <w:rFonts w:hint="eastAsia" w:eastAsia="方正仿宋_GBK"/>
          <w:bCs/>
          <w:sz w:val="32"/>
          <w:szCs w:val="32"/>
          <w:highlight w:val="none"/>
        </w:rPr>
        <w:t>景洪水电站勐海库区勐海县勐往乡</w:t>
      </w:r>
    </w:p>
    <w:p>
      <w:pPr>
        <w:framePr w:hSpace="180" w:wrap="around" w:vAnchor="text" w:hAnchor="margin" w:xAlign="center" w:y="165"/>
        <w:snapToGrid w:val="0"/>
        <w:spacing w:line="360" w:lineRule="auto"/>
        <w:ind w:firstLine="2880" w:firstLineChars="900"/>
        <w:rPr>
          <w:rFonts w:eastAsia="方正仿宋_GBK"/>
          <w:bCs/>
          <w:sz w:val="32"/>
          <w:szCs w:val="32"/>
          <w:highlight w:val="none"/>
        </w:rPr>
      </w:pPr>
      <w:r>
        <w:rPr>
          <w:rFonts w:hint="eastAsia" w:eastAsia="方正仿宋_GBK"/>
          <w:bCs/>
          <w:sz w:val="32"/>
          <w:szCs w:val="32"/>
          <w:highlight w:val="none"/>
        </w:rPr>
        <w:t>灰塘村委会野谷塘人畜供水项目</w:t>
      </w:r>
    </w:p>
    <w:p>
      <w:pPr>
        <w:framePr w:hSpace="180" w:wrap="around" w:vAnchor="text" w:hAnchor="margin" w:xAlign="center" w:y="165"/>
        <w:snapToGrid w:val="0"/>
        <w:spacing w:line="360" w:lineRule="auto"/>
        <w:ind w:firstLine="1280"/>
        <w:rPr>
          <w:rFonts w:eastAsia="方正仿宋_GBK"/>
          <w:bCs/>
          <w:sz w:val="32"/>
          <w:szCs w:val="32"/>
          <w:highlight w:val="none"/>
        </w:rPr>
      </w:pPr>
      <w:r>
        <w:rPr>
          <w:rFonts w:eastAsia="方正仿宋_GBK"/>
          <w:bCs/>
          <w:sz w:val="32"/>
          <w:szCs w:val="32"/>
          <w:highlight w:val="none"/>
        </w:rPr>
        <w:t>项目单位：</w:t>
      </w:r>
      <w:r>
        <w:rPr>
          <w:rFonts w:hint="eastAsia" w:eastAsia="方正仿宋_GBK"/>
          <w:bCs/>
          <w:sz w:val="32"/>
          <w:szCs w:val="32"/>
          <w:highlight w:val="none"/>
        </w:rPr>
        <w:t>勐海县搬迁安置办公室</w:t>
      </w:r>
    </w:p>
    <w:p>
      <w:pPr>
        <w:framePr w:hSpace="180" w:wrap="around" w:vAnchor="text" w:hAnchor="margin" w:xAlign="center" w:y="165"/>
        <w:snapToGrid w:val="0"/>
        <w:spacing w:line="360" w:lineRule="auto"/>
        <w:ind w:firstLine="1280"/>
        <w:rPr>
          <w:rFonts w:eastAsia="方正仿宋_GBK"/>
          <w:bCs/>
          <w:sz w:val="32"/>
          <w:szCs w:val="32"/>
          <w:highlight w:val="none"/>
        </w:rPr>
      </w:pPr>
      <w:r>
        <w:rPr>
          <w:rFonts w:eastAsia="方正仿宋_GBK"/>
          <w:bCs/>
          <w:sz w:val="32"/>
          <w:szCs w:val="32"/>
          <w:highlight w:val="none"/>
        </w:rPr>
        <w:t>主管部门：</w:t>
      </w:r>
      <w:r>
        <w:rPr>
          <w:rFonts w:hint="eastAsia" w:eastAsia="方正仿宋_GBK"/>
          <w:bCs/>
          <w:sz w:val="32"/>
          <w:szCs w:val="32"/>
          <w:highlight w:val="none"/>
        </w:rPr>
        <w:t>勐海县搬迁安置办公室</w:t>
      </w:r>
    </w:p>
    <w:p>
      <w:pPr>
        <w:framePr w:hSpace="180" w:wrap="around" w:vAnchor="text" w:hAnchor="margin" w:xAlign="center" w:y="165"/>
        <w:snapToGrid w:val="0"/>
        <w:spacing w:line="360" w:lineRule="auto"/>
        <w:ind w:firstLine="1280"/>
        <w:rPr>
          <w:rFonts w:eastAsia="方正仿宋_GBK"/>
          <w:color w:val="000000"/>
          <w:kern w:val="0"/>
          <w:sz w:val="32"/>
          <w:szCs w:val="32"/>
          <w:highlight w:val="none"/>
        </w:rPr>
      </w:pPr>
      <w:r>
        <w:rPr>
          <w:rFonts w:eastAsia="方正仿宋_GBK"/>
          <w:bCs/>
          <w:sz w:val="32"/>
          <w:szCs w:val="32"/>
          <w:highlight w:val="none"/>
        </w:rPr>
        <w:t>评价机构：</w:t>
      </w:r>
      <w:r>
        <w:rPr>
          <w:rFonts w:hint="eastAsia" w:eastAsia="方正仿宋_GBK"/>
          <w:bCs/>
          <w:sz w:val="32"/>
          <w:szCs w:val="32"/>
          <w:highlight w:val="none"/>
        </w:rPr>
        <w:t>云南信立</w:t>
      </w:r>
      <w:r>
        <w:rPr>
          <w:rFonts w:eastAsia="方正仿宋_GBK"/>
          <w:bCs/>
          <w:sz w:val="32"/>
          <w:szCs w:val="32"/>
          <w:highlight w:val="none"/>
        </w:rPr>
        <w:t>会计师事务所有限公司</w:t>
      </w:r>
    </w:p>
    <w:p>
      <w:pPr>
        <w:framePr w:hSpace="180" w:wrap="around" w:vAnchor="text" w:hAnchor="margin" w:xAlign="center" w:y="165"/>
        <w:rPr>
          <w:rFonts w:eastAsia="方正仿宋_GBK"/>
          <w:color w:val="000000"/>
          <w:kern w:val="0"/>
          <w:sz w:val="32"/>
          <w:szCs w:val="32"/>
          <w:highlight w:val="none"/>
        </w:rPr>
      </w:pPr>
    </w:p>
    <w:p>
      <w:pPr>
        <w:jc w:val="center"/>
        <w:rPr>
          <w:rFonts w:eastAsia="方正仿宋_GBK"/>
          <w:kern w:val="0"/>
          <w:sz w:val="32"/>
          <w:szCs w:val="32"/>
          <w:highlight w:val="none"/>
        </w:rPr>
        <w:sectPr>
          <w:headerReference r:id="rId3" w:type="default"/>
          <w:footerReference r:id="rId5" w:type="default"/>
          <w:headerReference r:id="rId4" w:type="even"/>
          <w:footerReference r:id="rId6" w:type="even"/>
          <w:pgSz w:w="11906" w:h="16838"/>
          <w:pgMar w:top="1418" w:right="1474" w:bottom="1418" w:left="1531" w:header="851" w:footer="992" w:gutter="0"/>
          <w:pgNumType w:fmt="numberInDash" w:chapStyle="1"/>
          <w:cols w:space="720" w:num="1"/>
          <w:docGrid w:type="linesAndChars" w:linePitch="312" w:charSpace="0"/>
        </w:sectPr>
      </w:pPr>
      <w:r>
        <w:rPr>
          <w:rFonts w:eastAsia="方正仿宋_GBK"/>
          <w:kern w:val="0"/>
          <w:sz w:val="32"/>
          <w:szCs w:val="32"/>
          <w:highlight w:val="none"/>
        </w:rPr>
        <w:t>报告日期：</w:t>
      </w:r>
      <w:r>
        <w:rPr>
          <w:rFonts w:eastAsia="方正仿宋_GBK"/>
          <w:color w:val="000000"/>
          <w:kern w:val="0"/>
          <w:sz w:val="32"/>
          <w:szCs w:val="32"/>
          <w:highlight w:val="none"/>
        </w:rPr>
        <w:t>20</w:t>
      </w:r>
      <w:r>
        <w:rPr>
          <w:rFonts w:hint="eastAsia" w:eastAsia="方正仿宋_GBK"/>
          <w:color w:val="000000"/>
          <w:kern w:val="0"/>
          <w:sz w:val="32"/>
          <w:szCs w:val="32"/>
          <w:highlight w:val="none"/>
        </w:rPr>
        <w:t>22</w:t>
      </w:r>
      <w:r>
        <w:rPr>
          <w:rFonts w:eastAsia="方正仿宋_GBK"/>
          <w:color w:val="000000"/>
          <w:kern w:val="0"/>
          <w:sz w:val="32"/>
          <w:szCs w:val="32"/>
          <w:highlight w:val="none"/>
        </w:rPr>
        <w:t>年</w:t>
      </w:r>
      <w:r>
        <w:rPr>
          <w:rFonts w:hint="eastAsia" w:eastAsia="方正仿宋_GBK"/>
          <w:color w:val="000000"/>
          <w:kern w:val="0"/>
          <w:sz w:val="32"/>
          <w:szCs w:val="32"/>
          <w:highlight w:val="none"/>
        </w:rPr>
        <w:t>11</w:t>
      </w:r>
      <w:r>
        <w:rPr>
          <w:rFonts w:eastAsia="方正仿宋_GBK"/>
          <w:color w:val="000000"/>
          <w:kern w:val="0"/>
          <w:sz w:val="32"/>
          <w:szCs w:val="32"/>
          <w:highlight w:val="none"/>
        </w:rPr>
        <w:t>月</w:t>
      </w:r>
    </w:p>
    <w:p>
      <w:pPr>
        <w:jc w:val="center"/>
        <w:rPr>
          <w:rFonts w:ascii="方正仿宋_GBK" w:hAnsi="方正仿宋_GBK" w:eastAsia="方正仿宋_GBK" w:cs="方正仿宋_GBK"/>
          <w:b/>
          <w:sz w:val="36"/>
          <w:szCs w:val="36"/>
          <w:highlight w:val="none"/>
        </w:rPr>
      </w:pPr>
      <w:r>
        <w:rPr>
          <w:rFonts w:hint="eastAsia" w:ascii="方正仿宋_GBK" w:hAnsi="方正仿宋_GBK" w:eastAsia="方正仿宋_GBK" w:cs="方正仿宋_GBK"/>
          <w:b/>
          <w:sz w:val="36"/>
          <w:szCs w:val="36"/>
          <w:highlight w:val="none"/>
        </w:rPr>
        <w:t>目     录</w:t>
      </w:r>
    </w:p>
    <w:p>
      <w:pPr>
        <w:pStyle w:val="8"/>
        <w:spacing w:line="240" w:lineRule="auto"/>
        <w:rPr>
          <w:rFonts w:ascii="仿宋_GB2312" w:hAnsi="方正仿宋_GBK" w:eastAsia="仿宋_GB2312" w:cs="方正仿宋_GBK"/>
          <w:highlight w:val="none"/>
        </w:rPr>
      </w:pPr>
    </w:p>
    <w:p>
      <w:pPr>
        <w:pStyle w:val="8"/>
        <w:tabs>
          <w:tab w:val="right" w:leader="dot" w:pos="8306"/>
          <w:tab w:val="clear" w:pos="8931"/>
        </w:tabs>
        <w:spacing w:line="240" w:lineRule="auto"/>
        <w:rPr>
          <w:rFonts w:ascii="仿宋" w:hAnsi="仿宋" w:eastAsia="仿宋" w:cs="仿宋"/>
          <w:b/>
          <w:kern w:val="2"/>
          <w:highlight w:val="none"/>
        </w:rPr>
      </w:pPr>
      <w:r>
        <w:rPr>
          <w:rFonts w:hint="eastAsia" w:ascii="仿宋" w:hAnsi="仿宋" w:eastAsia="仿宋" w:cs="仿宋"/>
          <w:szCs w:val="32"/>
          <w:highlight w:val="none"/>
        </w:rPr>
        <w:fldChar w:fldCharType="begin"/>
      </w:r>
      <w:r>
        <w:rPr>
          <w:rFonts w:hint="eastAsia" w:ascii="仿宋" w:hAnsi="仿宋" w:eastAsia="仿宋" w:cs="仿宋"/>
          <w:szCs w:val="32"/>
          <w:highlight w:val="none"/>
        </w:rPr>
        <w:instrText xml:space="preserve"> TOC \o "1-3" \h \z \u </w:instrText>
      </w:r>
      <w:r>
        <w:rPr>
          <w:rFonts w:hint="eastAsia" w:ascii="仿宋" w:hAnsi="仿宋" w:eastAsia="仿宋" w:cs="仿宋"/>
          <w:szCs w:val="32"/>
          <w:highlight w:val="none"/>
        </w:rPr>
        <w:fldChar w:fldCharType="separate"/>
      </w:r>
      <w:r>
        <w:rPr>
          <w:highlight w:val="none"/>
        </w:rPr>
        <w:fldChar w:fldCharType="begin"/>
      </w:r>
      <w:r>
        <w:rPr>
          <w:highlight w:val="none"/>
        </w:rPr>
        <w:instrText xml:space="preserve"> HYPERLINK \l "_Toc22598" </w:instrText>
      </w:r>
      <w:r>
        <w:rPr>
          <w:highlight w:val="none"/>
        </w:rPr>
        <w:fldChar w:fldCharType="separate"/>
      </w:r>
      <w:r>
        <w:rPr>
          <w:rFonts w:hint="eastAsia" w:ascii="仿宋" w:hAnsi="仿宋" w:eastAsia="仿宋" w:cs="仿宋"/>
          <w:b/>
          <w:kern w:val="2"/>
          <w:highlight w:val="none"/>
        </w:rPr>
        <w:t>一、项目基本情况</w:t>
      </w:r>
      <w:r>
        <w:rPr>
          <w:rFonts w:hint="eastAsia" w:ascii="仿宋" w:hAnsi="仿宋" w:eastAsia="仿宋" w:cs="仿宋"/>
          <w:b/>
          <w:kern w:val="2"/>
          <w:highlight w:val="none"/>
        </w:rPr>
        <w:tab/>
      </w:r>
      <w:r>
        <w:rPr>
          <w:rFonts w:hint="eastAsia" w:ascii="仿宋" w:hAnsi="仿宋" w:eastAsia="仿宋" w:cs="仿宋"/>
          <w:b/>
          <w:kern w:val="2"/>
          <w:highlight w:val="none"/>
        </w:rPr>
        <w:fldChar w:fldCharType="begin"/>
      </w:r>
      <w:r>
        <w:rPr>
          <w:rFonts w:hint="eastAsia" w:ascii="仿宋" w:hAnsi="仿宋" w:eastAsia="仿宋" w:cs="仿宋"/>
          <w:b/>
          <w:kern w:val="2"/>
          <w:highlight w:val="none"/>
        </w:rPr>
        <w:instrText xml:space="preserve"> PAGEREF _Toc22598 \h </w:instrText>
      </w:r>
      <w:r>
        <w:rPr>
          <w:rFonts w:hint="eastAsia" w:ascii="仿宋" w:hAnsi="仿宋" w:eastAsia="仿宋" w:cs="仿宋"/>
          <w:b/>
          <w:kern w:val="2"/>
          <w:highlight w:val="none"/>
        </w:rPr>
        <w:fldChar w:fldCharType="separate"/>
      </w:r>
      <w:r>
        <w:rPr>
          <w:rFonts w:hint="eastAsia" w:ascii="仿宋" w:hAnsi="仿宋" w:eastAsia="仿宋" w:cs="仿宋"/>
          <w:b/>
          <w:kern w:val="2"/>
          <w:highlight w:val="none"/>
        </w:rPr>
        <w:t>1</w:t>
      </w:r>
      <w:r>
        <w:rPr>
          <w:rFonts w:hint="eastAsia" w:ascii="仿宋" w:hAnsi="仿宋" w:eastAsia="仿宋" w:cs="仿宋"/>
          <w:b/>
          <w:kern w:val="2"/>
          <w:highlight w:val="none"/>
        </w:rPr>
        <w:fldChar w:fldCharType="end"/>
      </w:r>
      <w:r>
        <w:rPr>
          <w:rFonts w:hint="eastAsia" w:ascii="仿宋" w:hAnsi="仿宋" w:eastAsia="仿宋" w:cs="仿宋"/>
          <w:b/>
          <w:kern w:val="2"/>
          <w:highlight w:val="none"/>
        </w:rPr>
        <w:fldChar w:fldCharType="end"/>
      </w:r>
    </w:p>
    <w:p>
      <w:pPr>
        <w:pStyle w:val="9"/>
        <w:tabs>
          <w:tab w:val="right" w:leader="dot" w:pos="8306"/>
          <w:tab w:val="clear" w:pos="8948"/>
        </w:tabs>
        <w:ind w:left="424" w:hanging="424"/>
        <w:rPr>
          <w:rFonts w:ascii="仿宋" w:hAnsi="仿宋" w:eastAsia="仿宋" w:cs="仿宋"/>
          <w:bCs/>
          <w:sz w:val="28"/>
          <w:szCs w:val="28"/>
          <w:highlight w:val="none"/>
        </w:rPr>
      </w:pPr>
      <w:r>
        <w:rPr>
          <w:highlight w:val="none"/>
        </w:rPr>
        <w:fldChar w:fldCharType="begin"/>
      </w:r>
      <w:r>
        <w:rPr>
          <w:highlight w:val="none"/>
        </w:rPr>
        <w:instrText xml:space="preserve"> HYPERLINK \l "_Toc15785" </w:instrText>
      </w:r>
      <w:r>
        <w:rPr>
          <w:highlight w:val="none"/>
        </w:rPr>
        <w:fldChar w:fldCharType="separate"/>
      </w:r>
      <w:r>
        <w:rPr>
          <w:rFonts w:hint="eastAsia" w:ascii="仿宋" w:hAnsi="仿宋" w:eastAsia="仿宋" w:cs="仿宋"/>
          <w:bCs/>
          <w:sz w:val="28"/>
          <w:szCs w:val="28"/>
          <w:highlight w:val="none"/>
        </w:rPr>
        <w:t>（一）项目概况</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fldChar w:fldCharType="begin"/>
      </w:r>
      <w:r>
        <w:rPr>
          <w:rFonts w:hint="eastAsia" w:ascii="仿宋" w:hAnsi="仿宋" w:eastAsia="仿宋" w:cs="仿宋"/>
          <w:bCs/>
          <w:sz w:val="28"/>
          <w:szCs w:val="28"/>
          <w:highlight w:val="none"/>
        </w:rPr>
        <w:instrText xml:space="preserve"> PAGEREF _Toc15785 \h </w:instrText>
      </w:r>
      <w:r>
        <w:rPr>
          <w:rFonts w:hint="eastAsia" w:ascii="仿宋" w:hAnsi="仿宋" w:eastAsia="仿宋" w:cs="仿宋"/>
          <w:bCs/>
          <w:sz w:val="28"/>
          <w:szCs w:val="28"/>
          <w:highlight w:val="none"/>
        </w:rPr>
        <w:fldChar w:fldCharType="separate"/>
      </w:r>
      <w:r>
        <w:rPr>
          <w:rFonts w:hint="eastAsia" w:ascii="仿宋" w:hAnsi="仿宋" w:eastAsia="仿宋" w:cs="仿宋"/>
          <w:bCs/>
          <w:sz w:val="28"/>
          <w:szCs w:val="28"/>
          <w:highlight w:val="none"/>
        </w:rPr>
        <w:t>1</w:t>
      </w:r>
      <w:r>
        <w:rPr>
          <w:rFonts w:hint="eastAsia" w:ascii="仿宋" w:hAnsi="仿宋" w:eastAsia="仿宋" w:cs="仿宋"/>
          <w:bCs/>
          <w:sz w:val="28"/>
          <w:szCs w:val="28"/>
          <w:highlight w:val="none"/>
        </w:rPr>
        <w:fldChar w:fldCharType="end"/>
      </w:r>
      <w:r>
        <w:rPr>
          <w:rFonts w:hint="eastAsia" w:ascii="仿宋" w:hAnsi="仿宋" w:eastAsia="仿宋" w:cs="仿宋"/>
          <w:bCs/>
          <w:sz w:val="28"/>
          <w:szCs w:val="28"/>
          <w:highlight w:val="none"/>
        </w:rPr>
        <w:fldChar w:fldCharType="end"/>
      </w:r>
    </w:p>
    <w:p>
      <w:pPr>
        <w:pStyle w:val="9"/>
        <w:tabs>
          <w:tab w:val="right" w:leader="dot" w:pos="8306"/>
          <w:tab w:val="clear" w:pos="8948"/>
        </w:tabs>
        <w:ind w:left="424" w:hanging="424"/>
        <w:rPr>
          <w:rFonts w:ascii="仿宋" w:hAnsi="仿宋" w:eastAsia="仿宋" w:cs="仿宋"/>
          <w:bCs/>
          <w:sz w:val="28"/>
          <w:szCs w:val="28"/>
          <w:highlight w:val="none"/>
        </w:rPr>
      </w:pPr>
      <w:r>
        <w:rPr>
          <w:highlight w:val="none"/>
        </w:rPr>
        <w:fldChar w:fldCharType="begin"/>
      </w:r>
      <w:r>
        <w:rPr>
          <w:highlight w:val="none"/>
        </w:rPr>
        <w:instrText xml:space="preserve"> HYPERLINK \l "_Toc21921" </w:instrText>
      </w:r>
      <w:r>
        <w:rPr>
          <w:highlight w:val="none"/>
        </w:rPr>
        <w:fldChar w:fldCharType="separate"/>
      </w:r>
      <w:r>
        <w:rPr>
          <w:rFonts w:hint="eastAsia" w:ascii="仿宋" w:hAnsi="仿宋" w:eastAsia="仿宋" w:cs="仿宋"/>
          <w:bCs/>
          <w:sz w:val="28"/>
          <w:szCs w:val="28"/>
          <w:highlight w:val="none"/>
        </w:rPr>
        <w:t>（二）项目绩效目标</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fldChar w:fldCharType="begin"/>
      </w:r>
      <w:r>
        <w:rPr>
          <w:rFonts w:hint="eastAsia" w:ascii="仿宋" w:hAnsi="仿宋" w:eastAsia="仿宋" w:cs="仿宋"/>
          <w:bCs/>
          <w:sz w:val="28"/>
          <w:szCs w:val="28"/>
          <w:highlight w:val="none"/>
        </w:rPr>
        <w:instrText xml:space="preserve"> PAGEREF _Toc21921 \h </w:instrText>
      </w:r>
      <w:r>
        <w:rPr>
          <w:rFonts w:hint="eastAsia" w:ascii="仿宋" w:hAnsi="仿宋" w:eastAsia="仿宋" w:cs="仿宋"/>
          <w:bCs/>
          <w:sz w:val="28"/>
          <w:szCs w:val="28"/>
          <w:highlight w:val="none"/>
        </w:rPr>
        <w:fldChar w:fldCharType="separate"/>
      </w:r>
      <w:r>
        <w:rPr>
          <w:rFonts w:hint="eastAsia" w:ascii="仿宋" w:hAnsi="仿宋" w:eastAsia="仿宋" w:cs="仿宋"/>
          <w:bCs/>
          <w:sz w:val="28"/>
          <w:szCs w:val="28"/>
          <w:highlight w:val="none"/>
        </w:rPr>
        <w:t>5</w:t>
      </w:r>
      <w:r>
        <w:rPr>
          <w:rFonts w:hint="eastAsia" w:ascii="仿宋" w:hAnsi="仿宋" w:eastAsia="仿宋" w:cs="仿宋"/>
          <w:bCs/>
          <w:sz w:val="28"/>
          <w:szCs w:val="28"/>
          <w:highlight w:val="none"/>
        </w:rPr>
        <w:fldChar w:fldCharType="end"/>
      </w:r>
      <w:r>
        <w:rPr>
          <w:rFonts w:hint="eastAsia" w:ascii="仿宋" w:hAnsi="仿宋" w:eastAsia="仿宋" w:cs="仿宋"/>
          <w:bCs/>
          <w:sz w:val="28"/>
          <w:szCs w:val="28"/>
          <w:highlight w:val="none"/>
        </w:rPr>
        <w:fldChar w:fldCharType="end"/>
      </w:r>
    </w:p>
    <w:p>
      <w:pPr>
        <w:pStyle w:val="8"/>
        <w:tabs>
          <w:tab w:val="right" w:leader="dot" w:pos="8306"/>
          <w:tab w:val="clear" w:pos="8931"/>
        </w:tabs>
        <w:spacing w:line="240" w:lineRule="auto"/>
        <w:rPr>
          <w:rFonts w:ascii="仿宋" w:hAnsi="仿宋" w:eastAsia="仿宋" w:cs="仿宋"/>
          <w:b/>
          <w:kern w:val="2"/>
          <w:highlight w:val="none"/>
        </w:rPr>
      </w:pPr>
      <w:r>
        <w:rPr>
          <w:highlight w:val="none"/>
        </w:rPr>
        <w:fldChar w:fldCharType="begin"/>
      </w:r>
      <w:r>
        <w:rPr>
          <w:highlight w:val="none"/>
        </w:rPr>
        <w:instrText xml:space="preserve"> HYPERLINK \l "_Toc4995" </w:instrText>
      </w:r>
      <w:r>
        <w:rPr>
          <w:highlight w:val="none"/>
        </w:rPr>
        <w:fldChar w:fldCharType="separate"/>
      </w:r>
      <w:r>
        <w:rPr>
          <w:rFonts w:hint="eastAsia" w:ascii="仿宋" w:hAnsi="仿宋" w:eastAsia="仿宋" w:cs="仿宋"/>
          <w:b/>
          <w:kern w:val="2"/>
          <w:highlight w:val="none"/>
        </w:rPr>
        <w:t>二、绩效评价工作情况</w:t>
      </w:r>
      <w:r>
        <w:rPr>
          <w:rFonts w:hint="eastAsia" w:ascii="仿宋" w:hAnsi="仿宋" w:eastAsia="仿宋" w:cs="仿宋"/>
          <w:b/>
          <w:kern w:val="2"/>
          <w:highlight w:val="none"/>
        </w:rPr>
        <w:tab/>
      </w:r>
      <w:r>
        <w:rPr>
          <w:rFonts w:hint="eastAsia" w:ascii="仿宋" w:hAnsi="仿宋" w:eastAsia="仿宋" w:cs="仿宋"/>
          <w:b/>
          <w:kern w:val="2"/>
          <w:highlight w:val="none"/>
        </w:rPr>
        <w:fldChar w:fldCharType="begin"/>
      </w:r>
      <w:r>
        <w:rPr>
          <w:rFonts w:hint="eastAsia" w:ascii="仿宋" w:hAnsi="仿宋" w:eastAsia="仿宋" w:cs="仿宋"/>
          <w:b/>
          <w:kern w:val="2"/>
          <w:highlight w:val="none"/>
        </w:rPr>
        <w:instrText xml:space="preserve"> PAGEREF _Toc4995 \h </w:instrText>
      </w:r>
      <w:r>
        <w:rPr>
          <w:rFonts w:hint="eastAsia" w:ascii="仿宋" w:hAnsi="仿宋" w:eastAsia="仿宋" w:cs="仿宋"/>
          <w:b/>
          <w:kern w:val="2"/>
          <w:highlight w:val="none"/>
        </w:rPr>
        <w:fldChar w:fldCharType="separate"/>
      </w:r>
      <w:r>
        <w:rPr>
          <w:rFonts w:hint="eastAsia" w:ascii="仿宋" w:hAnsi="仿宋" w:eastAsia="仿宋" w:cs="仿宋"/>
          <w:b/>
          <w:kern w:val="2"/>
          <w:highlight w:val="none"/>
        </w:rPr>
        <w:t>6</w:t>
      </w:r>
      <w:r>
        <w:rPr>
          <w:rFonts w:hint="eastAsia" w:ascii="仿宋" w:hAnsi="仿宋" w:eastAsia="仿宋" w:cs="仿宋"/>
          <w:b/>
          <w:kern w:val="2"/>
          <w:highlight w:val="none"/>
        </w:rPr>
        <w:fldChar w:fldCharType="end"/>
      </w:r>
      <w:r>
        <w:rPr>
          <w:rFonts w:hint="eastAsia" w:ascii="仿宋" w:hAnsi="仿宋" w:eastAsia="仿宋" w:cs="仿宋"/>
          <w:b/>
          <w:kern w:val="2"/>
          <w:highlight w:val="none"/>
        </w:rPr>
        <w:fldChar w:fldCharType="end"/>
      </w:r>
    </w:p>
    <w:p>
      <w:pPr>
        <w:pStyle w:val="9"/>
        <w:tabs>
          <w:tab w:val="right" w:leader="dot" w:pos="8306"/>
          <w:tab w:val="clear" w:pos="8948"/>
        </w:tabs>
        <w:ind w:left="424" w:hanging="424"/>
        <w:rPr>
          <w:rFonts w:ascii="仿宋" w:hAnsi="仿宋" w:eastAsia="仿宋" w:cs="仿宋"/>
          <w:bCs/>
          <w:sz w:val="28"/>
          <w:szCs w:val="28"/>
          <w:highlight w:val="none"/>
        </w:rPr>
      </w:pPr>
      <w:r>
        <w:rPr>
          <w:highlight w:val="none"/>
        </w:rPr>
        <w:fldChar w:fldCharType="begin"/>
      </w:r>
      <w:r>
        <w:rPr>
          <w:highlight w:val="none"/>
        </w:rPr>
        <w:instrText xml:space="preserve"> HYPERLINK \l "_Toc28142" </w:instrText>
      </w:r>
      <w:r>
        <w:rPr>
          <w:highlight w:val="none"/>
        </w:rPr>
        <w:fldChar w:fldCharType="separate"/>
      </w:r>
      <w:r>
        <w:rPr>
          <w:rFonts w:hint="eastAsia" w:ascii="仿宋" w:hAnsi="仿宋" w:eastAsia="仿宋" w:cs="仿宋"/>
          <w:bCs/>
          <w:sz w:val="28"/>
          <w:szCs w:val="28"/>
          <w:highlight w:val="none"/>
        </w:rPr>
        <w:t>（一）绩效评价目的</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fldChar w:fldCharType="begin"/>
      </w:r>
      <w:r>
        <w:rPr>
          <w:rFonts w:hint="eastAsia" w:ascii="仿宋" w:hAnsi="仿宋" w:eastAsia="仿宋" w:cs="仿宋"/>
          <w:bCs/>
          <w:sz w:val="28"/>
          <w:szCs w:val="28"/>
          <w:highlight w:val="none"/>
        </w:rPr>
        <w:instrText xml:space="preserve"> PAGEREF _Toc28142 \h </w:instrText>
      </w:r>
      <w:r>
        <w:rPr>
          <w:rFonts w:hint="eastAsia" w:ascii="仿宋" w:hAnsi="仿宋" w:eastAsia="仿宋" w:cs="仿宋"/>
          <w:bCs/>
          <w:sz w:val="28"/>
          <w:szCs w:val="28"/>
          <w:highlight w:val="none"/>
        </w:rPr>
        <w:fldChar w:fldCharType="separate"/>
      </w:r>
      <w:r>
        <w:rPr>
          <w:rFonts w:hint="eastAsia" w:ascii="仿宋" w:hAnsi="仿宋" w:eastAsia="仿宋" w:cs="仿宋"/>
          <w:bCs/>
          <w:sz w:val="28"/>
          <w:szCs w:val="28"/>
          <w:highlight w:val="none"/>
        </w:rPr>
        <w:t>6</w:t>
      </w:r>
      <w:r>
        <w:rPr>
          <w:rFonts w:hint="eastAsia" w:ascii="仿宋" w:hAnsi="仿宋" w:eastAsia="仿宋" w:cs="仿宋"/>
          <w:bCs/>
          <w:sz w:val="28"/>
          <w:szCs w:val="28"/>
          <w:highlight w:val="none"/>
        </w:rPr>
        <w:fldChar w:fldCharType="end"/>
      </w:r>
      <w:r>
        <w:rPr>
          <w:rFonts w:hint="eastAsia" w:ascii="仿宋" w:hAnsi="仿宋" w:eastAsia="仿宋" w:cs="仿宋"/>
          <w:bCs/>
          <w:sz w:val="28"/>
          <w:szCs w:val="28"/>
          <w:highlight w:val="none"/>
        </w:rPr>
        <w:fldChar w:fldCharType="end"/>
      </w:r>
    </w:p>
    <w:p>
      <w:pPr>
        <w:pStyle w:val="9"/>
        <w:tabs>
          <w:tab w:val="right" w:leader="dot" w:pos="8306"/>
          <w:tab w:val="clear" w:pos="8948"/>
        </w:tabs>
        <w:ind w:left="424" w:hanging="424"/>
        <w:rPr>
          <w:rFonts w:ascii="仿宋" w:hAnsi="仿宋" w:eastAsia="仿宋" w:cs="仿宋"/>
          <w:bCs/>
          <w:sz w:val="28"/>
          <w:szCs w:val="28"/>
          <w:highlight w:val="none"/>
        </w:rPr>
      </w:pPr>
      <w:r>
        <w:rPr>
          <w:highlight w:val="none"/>
        </w:rPr>
        <w:fldChar w:fldCharType="begin"/>
      </w:r>
      <w:r>
        <w:rPr>
          <w:highlight w:val="none"/>
        </w:rPr>
        <w:instrText xml:space="preserve"> HYPERLINK \l "_Toc29227" </w:instrText>
      </w:r>
      <w:r>
        <w:rPr>
          <w:highlight w:val="none"/>
        </w:rPr>
        <w:fldChar w:fldCharType="separate"/>
      </w:r>
      <w:r>
        <w:rPr>
          <w:rFonts w:hint="eastAsia" w:ascii="仿宋" w:hAnsi="仿宋" w:eastAsia="仿宋" w:cs="仿宋"/>
          <w:bCs/>
          <w:sz w:val="28"/>
          <w:szCs w:val="28"/>
          <w:highlight w:val="none"/>
        </w:rPr>
        <w:t>（二）绩效评价设计过程</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t>7</w:t>
      </w:r>
      <w:r>
        <w:rPr>
          <w:rFonts w:hint="eastAsia" w:ascii="仿宋" w:hAnsi="仿宋" w:eastAsia="仿宋" w:cs="仿宋"/>
          <w:bCs/>
          <w:sz w:val="28"/>
          <w:szCs w:val="28"/>
          <w:highlight w:val="none"/>
        </w:rPr>
        <w:fldChar w:fldCharType="end"/>
      </w:r>
    </w:p>
    <w:p>
      <w:pPr>
        <w:pStyle w:val="9"/>
        <w:tabs>
          <w:tab w:val="right" w:leader="dot" w:pos="8306"/>
          <w:tab w:val="clear" w:pos="8948"/>
        </w:tabs>
        <w:ind w:left="424" w:hanging="424"/>
        <w:rPr>
          <w:rFonts w:ascii="仿宋" w:hAnsi="仿宋" w:eastAsia="仿宋" w:cs="仿宋"/>
          <w:bCs/>
          <w:sz w:val="28"/>
          <w:szCs w:val="28"/>
          <w:highlight w:val="none"/>
        </w:rPr>
      </w:pPr>
      <w:r>
        <w:rPr>
          <w:highlight w:val="none"/>
        </w:rPr>
        <w:fldChar w:fldCharType="begin"/>
      </w:r>
      <w:r>
        <w:rPr>
          <w:highlight w:val="none"/>
        </w:rPr>
        <w:instrText xml:space="preserve"> HYPERLINK \l "_Toc31718" </w:instrText>
      </w:r>
      <w:r>
        <w:rPr>
          <w:highlight w:val="none"/>
        </w:rPr>
        <w:fldChar w:fldCharType="separate"/>
      </w:r>
      <w:r>
        <w:rPr>
          <w:rFonts w:hint="eastAsia" w:ascii="仿宋" w:hAnsi="仿宋" w:eastAsia="仿宋" w:cs="仿宋"/>
          <w:bCs/>
          <w:sz w:val="28"/>
          <w:szCs w:val="28"/>
          <w:highlight w:val="none"/>
        </w:rPr>
        <w:t>（三）绩效评价原则、评价指标体系、绩效标准和评价方法</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t>8</w:t>
      </w:r>
      <w:r>
        <w:rPr>
          <w:rFonts w:hint="eastAsia" w:ascii="仿宋" w:hAnsi="仿宋" w:eastAsia="仿宋" w:cs="仿宋"/>
          <w:bCs/>
          <w:sz w:val="28"/>
          <w:szCs w:val="28"/>
          <w:highlight w:val="none"/>
        </w:rPr>
        <w:fldChar w:fldCharType="end"/>
      </w:r>
    </w:p>
    <w:p>
      <w:pPr>
        <w:pStyle w:val="9"/>
        <w:tabs>
          <w:tab w:val="right" w:leader="dot" w:pos="8306"/>
          <w:tab w:val="clear" w:pos="8948"/>
        </w:tabs>
        <w:ind w:left="424" w:hanging="424"/>
        <w:rPr>
          <w:rFonts w:ascii="仿宋" w:hAnsi="仿宋" w:eastAsia="仿宋" w:cs="仿宋"/>
          <w:bCs/>
          <w:sz w:val="28"/>
          <w:szCs w:val="28"/>
          <w:highlight w:val="none"/>
        </w:rPr>
      </w:pPr>
      <w:r>
        <w:rPr>
          <w:highlight w:val="none"/>
        </w:rPr>
        <w:fldChar w:fldCharType="begin"/>
      </w:r>
      <w:r>
        <w:rPr>
          <w:highlight w:val="none"/>
        </w:rPr>
        <w:instrText xml:space="preserve"> HYPERLINK \l "_Toc26769" </w:instrText>
      </w:r>
      <w:r>
        <w:rPr>
          <w:highlight w:val="none"/>
        </w:rPr>
        <w:fldChar w:fldCharType="separate"/>
      </w:r>
      <w:r>
        <w:rPr>
          <w:rFonts w:hint="eastAsia" w:ascii="仿宋" w:hAnsi="仿宋" w:eastAsia="仿宋" w:cs="仿宋"/>
          <w:bCs/>
          <w:sz w:val="28"/>
          <w:szCs w:val="28"/>
          <w:highlight w:val="none"/>
        </w:rPr>
        <w:t>（四）证据收集方法</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t>1</w:t>
      </w:r>
      <w:r>
        <w:rPr>
          <w:rFonts w:hint="eastAsia" w:ascii="仿宋" w:hAnsi="仿宋" w:eastAsia="仿宋" w:cs="仿宋"/>
          <w:bCs/>
          <w:sz w:val="28"/>
          <w:szCs w:val="28"/>
          <w:highlight w:val="none"/>
        </w:rPr>
        <w:fldChar w:fldCharType="end"/>
      </w:r>
      <w:r>
        <w:rPr>
          <w:rFonts w:hint="eastAsia" w:ascii="仿宋" w:hAnsi="仿宋" w:eastAsia="仿宋" w:cs="仿宋"/>
          <w:bCs/>
          <w:sz w:val="28"/>
          <w:szCs w:val="28"/>
          <w:highlight w:val="none"/>
        </w:rPr>
        <w:t>0</w:t>
      </w:r>
    </w:p>
    <w:p>
      <w:pPr>
        <w:pStyle w:val="9"/>
        <w:tabs>
          <w:tab w:val="right" w:leader="dot" w:pos="8306"/>
          <w:tab w:val="clear" w:pos="8948"/>
        </w:tabs>
        <w:ind w:left="424" w:hanging="424"/>
        <w:rPr>
          <w:rFonts w:ascii="仿宋" w:hAnsi="仿宋" w:eastAsia="仿宋" w:cs="仿宋"/>
          <w:bCs/>
          <w:sz w:val="28"/>
          <w:szCs w:val="28"/>
          <w:highlight w:val="none"/>
        </w:rPr>
      </w:pPr>
      <w:r>
        <w:rPr>
          <w:highlight w:val="none"/>
        </w:rPr>
        <w:fldChar w:fldCharType="begin"/>
      </w:r>
      <w:r>
        <w:rPr>
          <w:highlight w:val="none"/>
        </w:rPr>
        <w:instrText xml:space="preserve"> HYPERLINK \l "_Toc23917" </w:instrText>
      </w:r>
      <w:r>
        <w:rPr>
          <w:highlight w:val="none"/>
        </w:rPr>
        <w:fldChar w:fldCharType="separate"/>
      </w:r>
      <w:r>
        <w:rPr>
          <w:rFonts w:hint="eastAsia" w:ascii="仿宋" w:hAnsi="仿宋" w:eastAsia="仿宋" w:cs="仿宋"/>
          <w:bCs/>
          <w:sz w:val="28"/>
          <w:szCs w:val="28"/>
          <w:highlight w:val="none"/>
        </w:rPr>
        <w:t>（五）绩效评价实施过程</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t>1</w:t>
      </w:r>
      <w:r>
        <w:rPr>
          <w:rFonts w:hint="eastAsia" w:ascii="仿宋" w:hAnsi="仿宋" w:eastAsia="仿宋" w:cs="仿宋"/>
          <w:bCs/>
          <w:sz w:val="28"/>
          <w:szCs w:val="28"/>
          <w:highlight w:val="none"/>
        </w:rPr>
        <w:fldChar w:fldCharType="end"/>
      </w:r>
      <w:r>
        <w:rPr>
          <w:rFonts w:hint="eastAsia" w:ascii="仿宋" w:hAnsi="仿宋" w:eastAsia="仿宋" w:cs="仿宋"/>
          <w:bCs/>
          <w:sz w:val="28"/>
          <w:szCs w:val="28"/>
          <w:highlight w:val="none"/>
        </w:rPr>
        <w:t>0</w:t>
      </w:r>
    </w:p>
    <w:p>
      <w:pPr>
        <w:pStyle w:val="9"/>
        <w:tabs>
          <w:tab w:val="right" w:leader="dot" w:pos="8306"/>
          <w:tab w:val="clear" w:pos="8948"/>
        </w:tabs>
        <w:ind w:left="424" w:hanging="424"/>
        <w:rPr>
          <w:rFonts w:ascii="仿宋" w:hAnsi="仿宋" w:eastAsia="仿宋" w:cs="仿宋"/>
          <w:bCs/>
          <w:sz w:val="28"/>
          <w:szCs w:val="28"/>
          <w:highlight w:val="none"/>
        </w:rPr>
      </w:pPr>
      <w:r>
        <w:rPr>
          <w:highlight w:val="none"/>
        </w:rPr>
        <w:fldChar w:fldCharType="begin"/>
      </w:r>
      <w:r>
        <w:rPr>
          <w:highlight w:val="none"/>
        </w:rPr>
        <w:instrText xml:space="preserve"> HYPERLINK \l "_Toc1264" </w:instrText>
      </w:r>
      <w:r>
        <w:rPr>
          <w:highlight w:val="none"/>
        </w:rPr>
        <w:fldChar w:fldCharType="separate"/>
      </w:r>
      <w:r>
        <w:rPr>
          <w:rFonts w:hint="eastAsia" w:ascii="仿宋" w:hAnsi="仿宋" w:eastAsia="仿宋" w:cs="仿宋"/>
          <w:bCs/>
          <w:sz w:val="28"/>
          <w:szCs w:val="28"/>
          <w:highlight w:val="none"/>
        </w:rPr>
        <w:t>（六）本次绩效评价的局限性</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fldChar w:fldCharType="begin"/>
      </w:r>
      <w:r>
        <w:rPr>
          <w:rFonts w:hint="eastAsia" w:ascii="仿宋" w:hAnsi="仿宋" w:eastAsia="仿宋" w:cs="仿宋"/>
          <w:bCs/>
          <w:sz w:val="28"/>
          <w:szCs w:val="28"/>
          <w:highlight w:val="none"/>
        </w:rPr>
        <w:instrText xml:space="preserve"> PAGEREF _Toc1264 \h </w:instrText>
      </w:r>
      <w:r>
        <w:rPr>
          <w:rFonts w:hint="eastAsia" w:ascii="仿宋" w:hAnsi="仿宋" w:eastAsia="仿宋" w:cs="仿宋"/>
          <w:bCs/>
          <w:sz w:val="28"/>
          <w:szCs w:val="28"/>
          <w:highlight w:val="none"/>
        </w:rPr>
        <w:fldChar w:fldCharType="separate"/>
      </w:r>
      <w:r>
        <w:rPr>
          <w:rFonts w:hint="eastAsia" w:ascii="仿宋" w:hAnsi="仿宋" w:eastAsia="仿宋" w:cs="仿宋"/>
          <w:bCs/>
          <w:sz w:val="28"/>
          <w:szCs w:val="28"/>
          <w:highlight w:val="none"/>
        </w:rPr>
        <w:t>10</w:t>
      </w:r>
      <w:r>
        <w:rPr>
          <w:rFonts w:hint="eastAsia" w:ascii="仿宋" w:hAnsi="仿宋" w:eastAsia="仿宋" w:cs="仿宋"/>
          <w:bCs/>
          <w:sz w:val="28"/>
          <w:szCs w:val="28"/>
          <w:highlight w:val="none"/>
        </w:rPr>
        <w:fldChar w:fldCharType="end"/>
      </w:r>
      <w:r>
        <w:rPr>
          <w:rFonts w:hint="eastAsia" w:ascii="仿宋" w:hAnsi="仿宋" w:eastAsia="仿宋" w:cs="仿宋"/>
          <w:bCs/>
          <w:sz w:val="28"/>
          <w:szCs w:val="28"/>
          <w:highlight w:val="none"/>
        </w:rPr>
        <w:fldChar w:fldCharType="end"/>
      </w:r>
    </w:p>
    <w:p>
      <w:pPr>
        <w:pStyle w:val="8"/>
        <w:tabs>
          <w:tab w:val="right" w:leader="dot" w:pos="8306"/>
          <w:tab w:val="clear" w:pos="8931"/>
        </w:tabs>
        <w:spacing w:line="240" w:lineRule="auto"/>
        <w:rPr>
          <w:rFonts w:ascii="仿宋" w:hAnsi="仿宋" w:eastAsia="仿宋" w:cs="仿宋"/>
          <w:b/>
          <w:kern w:val="2"/>
          <w:highlight w:val="none"/>
        </w:rPr>
      </w:pPr>
      <w:r>
        <w:rPr>
          <w:highlight w:val="none"/>
        </w:rPr>
        <w:fldChar w:fldCharType="begin"/>
      </w:r>
      <w:r>
        <w:rPr>
          <w:highlight w:val="none"/>
        </w:rPr>
        <w:instrText xml:space="preserve"> HYPERLINK \l "_Toc6164" </w:instrText>
      </w:r>
      <w:r>
        <w:rPr>
          <w:highlight w:val="none"/>
        </w:rPr>
        <w:fldChar w:fldCharType="separate"/>
      </w:r>
      <w:r>
        <w:rPr>
          <w:rFonts w:hint="eastAsia" w:ascii="仿宋" w:hAnsi="仿宋" w:eastAsia="仿宋" w:cs="仿宋"/>
          <w:b/>
          <w:kern w:val="2"/>
          <w:highlight w:val="none"/>
        </w:rPr>
        <w:t>三、绩效分析及评价结论</w:t>
      </w:r>
      <w:r>
        <w:rPr>
          <w:rFonts w:hint="eastAsia" w:ascii="仿宋" w:hAnsi="仿宋" w:eastAsia="仿宋" w:cs="仿宋"/>
          <w:b/>
          <w:kern w:val="2"/>
          <w:highlight w:val="none"/>
        </w:rPr>
        <w:tab/>
      </w:r>
      <w:r>
        <w:rPr>
          <w:rFonts w:hint="eastAsia" w:ascii="仿宋" w:hAnsi="仿宋" w:eastAsia="仿宋" w:cs="仿宋"/>
          <w:b/>
          <w:kern w:val="2"/>
          <w:highlight w:val="none"/>
        </w:rPr>
        <w:fldChar w:fldCharType="begin"/>
      </w:r>
      <w:r>
        <w:rPr>
          <w:rFonts w:hint="eastAsia" w:ascii="仿宋" w:hAnsi="仿宋" w:eastAsia="仿宋" w:cs="仿宋"/>
          <w:b/>
          <w:kern w:val="2"/>
          <w:highlight w:val="none"/>
        </w:rPr>
        <w:instrText xml:space="preserve"> PAGEREF _Toc6164 \h </w:instrText>
      </w:r>
      <w:r>
        <w:rPr>
          <w:rFonts w:hint="eastAsia" w:ascii="仿宋" w:hAnsi="仿宋" w:eastAsia="仿宋" w:cs="仿宋"/>
          <w:b/>
          <w:kern w:val="2"/>
          <w:highlight w:val="none"/>
        </w:rPr>
        <w:fldChar w:fldCharType="separate"/>
      </w:r>
      <w:r>
        <w:rPr>
          <w:rFonts w:hint="eastAsia" w:ascii="仿宋" w:hAnsi="仿宋" w:eastAsia="仿宋" w:cs="仿宋"/>
          <w:b/>
          <w:kern w:val="2"/>
          <w:highlight w:val="none"/>
        </w:rPr>
        <w:t>10</w:t>
      </w:r>
      <w:r>
        <w:rPr>
          <w:rFonts w:hint="eastAsia" w:ascii="仿宋" w:hAnsi="仿宋" w:eastAsia="仿宋" w:cs="仿宋"/>
          <w:b/>
          <w:kern w:val="2"/>
          <w:highlight w:val="none"/>
        </w:rPr>
        <w:fldChar w:fldCharType="end"/>
      </w:r>
      <w:r>
        <w:rPr>
          <w:rFonts w:hint="eastAsia" w:ascii="仿宋" w:hAnsi="仿宋" w:eastAsia="仿宋" w:cs="仿宋"/>
          <w:b/>
          <w:kern w:val="2"/>
          <w:highlight w:val="none"/>
        </w:rPr>
        <w:fldChar w:fldCharType="end"/>
      </w:r>
    </w:p>
    <w:p>
      <w:pPr>
        <w:pStyle w:val="9"/>
        <w:tabs>
          <w:tab w:val="right" w:leader="dot" w:pos="8306"/>
          <w:tab w:val="clear" w:pos="8948"/>
        </w:tabs>
        <w:ind w:left="424" w:hanging="424"/>
        <w:rPr>
          <w:rFonts w:ascii="仿宋" w:hAnsi="仿宋" w:eastAsia="仿宋" w:cs="仿宋"/>
          <w:bCs/>
          <w:sz w:val="28"/>
          <w:szCs w:val="28"/>
          <w:highlight w:val="none"/>
        </w:rPr>
      </w:pPr>
      <w:r>
        <w:rPr>
          <w:highlight w:val="none"/>
        </w:rPr>
        <w:fldChar w:fldCharType="begin"/>
      </w:r>
      <w:r>
        <w:rPr>
          <w:highlight w:val="none"/>
        </w:rPr>
        <w:instrText xml:space="preserve"> HYPERLINK \l "_Toc11728" </w:instrText>
      </w:r>
      <w:r>
        <w:rPr>
          <w:highlight w:val="none"/>
        </w:rPr>
        <w:fldChar w:fldCharType="separate"/>
      </w:r>
      <w:r>
        <w:rPr>
          <w:rFonts w:hint="eastAsia" w:ascii="仿宋" w:hAnsi="仿宋" w:eastAsia="仿宋" w:cs="仿宋"/>
          <w:bCs/>
          <w:sz w:val="28"/>
          <w:szCs w:val="28"/>
          <w:highlight w:val="none"/>
        </w:rPr>
        <w:t>（一）绩效分析</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t>1</w:t>
      </w:r>
      <w:r>
        <w:rPr>
          <w:rFonts w:hint="eastAsia" w:ascii="仿宋" w:hAnsi="仿宋" w:eastAsia="仿宋" w:cs="仿宋"/>
          <w:bCs/>
          <w:sz w:val="28"/>
          <w:szCs w:val="28"/>
          <w:highlight w:val="none"/>
        </w:rPr>
        <w:fldChar w:fldCharType="end"/>
      </w:r>
      <w:r>
        <w:rPr>
          <w:rFonts w:hint="eastAsia" w:ascii="仿宋" w:hAnsi="仿宋" w:eastAsia="仿宋" w:cs="仿宋"/>
          <w:bCs/>
          <w:sz w:val="28"/>
          <w:szCs w:val="28"/>
          <w:highlight w:val="none"/>
        </w:rPr>
        <w:t>1</w:t>
      </w:r>
    </w:p>
    <w:p>
      <w:pPr>
        <w:pStyle w:val="9"/>
        <w:tabs>
          <w:tab w:val="right" w:leader="dot" w:pos="8306"/>
          <w:tab w:val="clear" w:pos="8948"/>
        </w:tabs>
        <w:ind w:left="424" w:hanging="424"/>
        <w:rPr>
          <w:rFonts w:ascii="仿宋" w:hAnsi="仿宋" w:eastAsia="仿宋" w:cs="仿宋"/>
          <w:bCs/>
          <w:sz w:val="28"/>
          <w:szCs w:val="28"/>
          <w:highlight w:val="none"/>
        </w:rPr>
      </w:pPr>
      <w:r>
        <w:rPr>
          <w:highlight w:val="none"/>
        </w:rPr>
        <w:fldChar w:fldCharType="begin"/>
      </w:r>
      <w:r>
        <w:rPr>
          <w:highlight w:val="none"/>
        </w:rPr>
        <w:instrText xml:space="preserve"> HYPERLINK \l "_Toc31380" </w:instrText>
      </w:r>
      <w:r>
        <w:rPr>
          <w:highlight w:val="none"/>
        </w:rPr>
        <w:fldChar w:fldCharType="separate"/>
      </w:r>
      <w:r>
        <w:rPr>
          <w:rFonts w:hint="eastAsia" w:ascii="仿宋" w:hAnsi="仿宋" w:eastAsia="仿宋" w:cs="仿宋"/>
          <w:bCs/>
          <w:sz w:val="28"/>
          <w:szCs w:val="28"/>
          <w:highlight w:val="none"/>
        </w:rPr>
        <w:t>（二）评价结论</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t>1</w:t>
      </w:r>
      <w:r>
        <w:rPr>
          <w:rFonts w:hint="eastAsia" w:ascii="仿宋" w:hAnsi="仿宋" w:eastAsia="仿宋" w:cs="仿宋"/>
          <w:bCs/>
          <w:sz w:val="28"/>
          <w:szCs w:val="28"/>
          <w:highlight w:val="none"/>
        </w:rPr>
        <w:fldChar w:fldCharType="end"/>
      </w:r>
      <w:r>
        <w:rPr>
          <w:rFonts w:hint="eastAsia" w:ascii="仿宋" w:hAnsi="仿宋" w:eastAsia="仿宋" w:cs="仿宋"/>
          <w:bCs/>
          <w:sz w:val="28"/>
          <w:szCs w:val="28"/>
          <w:highlight w:val="none"/>
        </w:rPr>
        <w:t>8</w:t>
      </w:r>
    </w:p>
    <w:p>
      <w:pPr>
        <w:pStyle w:val="8"/>
        <w:tabs>
          <w:tab w:val="right" w:leader="dot" w:pos="8306"/>
          <w:tab w:val="clear" w:pos="8931"/>
        </w:tabs>
        <w:spacing w:line="240" w:lineRule="auto"/>
        <w:rPr>
          <w:rFonts w:ascii="仿宋" w:hAnsi="仿宋" w:eastAsia="仿宋" w:cs="仿宋"/>
          <w:b/>
          <w:kern w:val="2"/>
          <w:highlight w:val="none"/>
        </w:rPr>
      </w:pPr>
      <w:r>
        <w:rPr>
          <w:highlight w:val="none"/>
        </w:rPr>
        <w:fldChar w:fldCharType="begin"/>
      </w:r>
      <w:r>
        <w:rPr>
          <w:highlight w:val="none"/>
        </w:rPr>
        <w:instrText xml:space="preserve"> HYPERLINK \l "_Toc14353" </w:instrText>
      </w:r>
      <w:r>
        <w:rPr>
          <w:highlight w:val="none"/>
        </w:rPr>
        <w:fldChar w:fldCharType="separate"/>
      </w:r>
      <w:r>
        <w:rPr>
          <w:rFonts w:hint="eastAsia" w:ascii="仿宋" w:hAnsi="仿宋" w:eastAsia="仿宋" w:cs="仿宋"/>
          <w:b/>
          <w:kern w:val="2"/>
          <w:highlight w:val="none"/>
        </w:rPr>
        <w:t>四、主要的经验及做法</w:t>
      </w:r>
      <w:r>
        <w:rPr>
          <w:rFonts w:hint="eastAsia" w:ascii="仿宋" w:hAnsi="仿宋" w:eastAsia="仿宋" w:cs="仿宋"/>
          <w:b/>
          <w:kern w:val="2"/>
          <w:highlight w:val="none"/>
        </w:rPr>
        <w:tab/>
      </w:r>
      <w:r>
        <w:rPr>
          <w:rFonts w:hint="eastAsia" w:ascii="仿宋" w:hAnsi="仿宋" w:eastAsia="仿宋" w:cs="仿宋"/>
          <w:b/>
          <w:kern w:val="2"/>
          <w:highlight w:val="none"/>
        </w:rPr>
        <w:t>1</w:t>
      </w:r>
      <w:r>
        <w:rPr>
          <w:rFonts w:hint="eastAsia" w:ascii="仿宋" w:hAnsi="仿宋" w:eastAsia="仿宋" w:cs="仿宋"/>
          <w:b/>
          <w:kern w:val="2"/>
          <w:highlight w:val="none"/>
        </w:rPr>
        <w:fldChar w:fldCharType="end"/>
      </w:r>
      <w:r>
        <w:rPr>
          <w:rFonts w:hint="eastAsia" w:ascii="仿宋" w:hAnsi="仿宋" w:eastAsia="仿宋" w:cs="仿宋"/>
          <w:b/>
          <w:kern w:val="2"/>
          <w:highlight w:val="none"/>
        </w:rPr>
        <w:t>9</w:t>
      </w:r>
    </w:p>
    <w:p>
      <w:pPr>
        <w:pStyle w:val="8"/>
        <w:tabs>
          <w:tab w:val="right" w:leader="dot" w:pos="8306"/>
          <w:tab w:val="clear" w:pos="8931"/>
        </w:tabs>
        <w:spacing w:line="240" w:lineRule="auto"/>
        <w:rPr>
          <w:rFonts w:ascii="仿宋" w:hAnsi="仿宋" w:eastAsia="仿宋" w:cs="仿宋"/>
          <w:bCs/>
          <w:kern w:val="2"/>
          <w:highlight w:val="none"/>
        </w:rPr>
      </w:pPr>
      <w:r>
        <w:rPr>
          <w:highlight w:val="none"/>
        </w:rPr>
        <w:fldChar w:fldCharType="begin"/>
      </w:r>
      <w:r>
        <w:rPr>
          <w:highlight w:val="none"/>
        </w:rPr>
        <w:instrText xml:space="preserve"> HYPERLINK \l "_Toc27439" </w:instrText>
      </w:r>
      <w:r>
        <w:rPr>
          <w:highlight w:val="none"/>
        </w:rPr>
        <w:fldChar w:fldCharType="separate"/>
      </w:r>
      <w:r>
        <w:rPr>
          <w:rFonts w:hint="eastAsia" w:ascii="仿宋" w:hAnsi="仿宋" w:eastAsia="仿宋" w:cs="仿宋"/>
          <w:b/>
          <w:kern w:val="2"/>
          <w:highlight w:val="none"/>
        </w:rPr>
        <w:t>五、存在的问题和建议</w:t>
      </w:r>
      <w:r>
        <w:rPr>
          <w:rFonts w:hint="eastAsia" w:ascii="仿宋" w:hAnsi="仿宋" w:eastAsia="仿宋" w:cs="仿宋"/>
          <w:b/>
          <w:kern w:val="2"/>
          <w:highlight w:val="none"/>
        </w:rPr>
        <w:tab/>
      </w:r>
      <w:r>
        <w:rPr>
          <w:rFonts w:hint="eastAsia" w:ascii="仿宋" w:hAnsi="仿宋" w:eastAsia="仿宋" w:cs="仿宋"/>
          <w:b/>
          <w:kern w:val="2"/>
          <w:highlight w:val="none"/>
        </w:rPr>
        <w:t>1</w:t>
      </w:r>
      <w:r>
        <w:rPr>
          <w:rFonts w:hint="eastAsia" w:ascii="仿宋" w:hAnsi="仿宋" w:eastAsia="仿宋" w:cs="仿宋"/>
          <w:b/>
          <w:kern w:val="2"/>
          <w:highlight w:val="none"/>
        </w:rPr>
        <w:fldChar w:fldCharType="end"/>
      </w:r>
      <w:r>
        <w:rPr>
          <w:rFonts w:hint="eastAsia" w:ascii="仿宋" w:hAnsi="仿宋" w:eastAsia="仿宋" w:cs="仿宋"/>
          <w:b/>
          <w:kern w:val="2"/>
          <w:highlight w:val="none"/>
        </w:rPr>
        <w:t>9</w:t>
      </w:r>
    </w:p>
    <w:p>
      <w:pPr>
        <w:pStyle w:val="9"/>
        <w:tabs>
          <w:tab w:val="right" w:leader="dot" w:pos="8306"/>
          <w:tab w:val="clear" w:pos="8948"/>
        </w:tabs>
        <w:ind w:left="424" w:hanging="424"/>
        <w:rPr>
          <w:rFonts w:ascii="仿宋" w:hAnsi="仿宋" w:eastAsia="仿宋" w:cs="仿宋"/>
          <w:bCs/>
          <w:sz w:val="28"/>
          <w:szCs w:val="28"/>
          <w:highlight w:val="none"/>
        </w:rPr>
      </w:pPr>
      <w:r>
        <w:rPr>
          <w:highlight w:val="none"/>
        </w:rPr>
        <w:fldChar w:fldCharType="begin"/>
      </w:r>
      <w:r>
        <w:rPr>
          <w:highlight w:val="none"/>
        </w:rPr>
        <w:instrText xml:space="preserve"> HYPERLINK \l "_Toc19013" </w:instrText>
      </w:r>
      <w:r>
        <w:rPr>
          <w:highlight w:val="none"/>
        </w:rPr>
        <w:fldChar w:fldCharType="separate"/>
      </w:r>
      <w:r>
        <w:rPr>
          <w:rFonts w:hint="eastAsia" w:ascii="仿宋" w:hAnsi="仿宋" w:eastAsia="仿宋" w:cs="仿宋"/>
          <w:bCs/>
          <w:sz w:val="28"/>
          <w:szCs w:val="28"/>
          <w:highlight w:val="none"/>
        </w:rPr>
        <w:t>（一）存在的问题</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t>1</w:t>
      </w:r>
      <w:r>
        <w:rPr>
          <w:rFonts w:hint="eastAsia" w:ascii="仿宋" w:hAnsi="仿宋" w:eastAsia="仿宋" w:cs="仿宋"/>
          <w:bCs/>
          <w:sz w:val="28"/>
          <w:szCs w:val="28"/>
          <w:highlight w:val="none"/>
        </w:rPr>
        <w:fldChar w:fldCharType="end"/>
      </w:r>
      <w:r>
        <w:rPr>
          <w:rFonts w:hint="eastAsia" w:ascii="仿宋" w:hAnsi="仿宋" w:eastAsia="仿宋" w:cs="仿宋"/>
          <w:bCs/>
          <w:sz w:val="28"/>
          <w:szCs w:val="28"/>
          <w:highlight w:val="none"/>
        </w:rPr>
        <w:t>9</w:t>
      </w:r>
    </w:p>
    <w:p>
      <w:pPr>
        <w:pStyle w:val="9"/>
        <w:tabs>
          <w:tab w:val="right" w:leader="dot" w:pos="8306"/>
          <w:tab w:val="clear" w:pos="8948"/>
        </w:tabs>
        <w:ind w:left="424" w:hanging="424"/>
        <w:rPr>
          <w:highlight w:val="none"/>
        </w:rPr>
      </w:pPr>
      <w:r>
        <w:rPr>
          <w:highlight w:val="none"/>
        </w:rPr>
        <w:fldChar w:fldCharType="begin"/>
      </w:r>
      <w:r>
        <w:rPr>
          <w:highlight w:val="none"/>
        </w:rPr>
        <w:instrText xml:space="preserve"> HYPERLINK \l "_Toc21025" </w:instrText>
      </w:r>
      <w:r>
        <w:rPr>
          <w:highlight w:val="none"/>
        </w:rPr>
        <w:fldChar w:fldCharType="separate"/>
      </w:r>
      <w:r>
        <w:rPr>
          <w:rFonts w:hint="eastAsia" w:ascii="仿宋" w:hAnsi="仿宋" w:eastAsia="仿宋" w:cs="仿宋"/>
          <w:bCs/>
          <w:sz w:val="28"/>
          <w:szCs w:val="28"/>
          <w:highlight w:val="none"/>
        </w:rPr>
        <w:t>（二）建议和改进举措</w:t>
      </w:r>
      <w:r>
        <w:rPr>
          <w:rFonts w:hint="eastAsia" w:ascii="仿宋" w:hAnsi="仿宋" w:eastAsia="仿宋" w:cs="仿宋"/>
          <w:bCs/>
          <w:sz w:val="28"/>
          <w:szCs w:val="28"/>
          <w:highlight w:val="none"/>
        </w:rPr>
        <w:tab/>
      </w:r>
      <w:r>
        <w:rPr>
          <w:rFonts w:hint="eastAsia" w:ascii="仿宋" w:hAnsi="仿宋" w:eastAsia="仿宋" w:cs="仿宋"/>
          <w:bCs/>
          <w:sz w:val="28"/>
          <w:szCs w:val="28"/>
          <w:highlight w:val="none"/>
        </w:rPr>
        <w:fldChar w:fldCharType="begin"/>
      </w:r>
      <w:r>
        <w:rPr>
          <w:rFonts w:hint="eastAsia" w:ascii="仿宋" w:hAnsi="仿宋" w:eastAsia="仿宋" w:cs="仿宋"/>
          <w:bCs/>
          <w:sz w:val="28"/>
          <w:szCs w:val="28"/>
          <w:highlight w:val="none"/>
        </w:rPr>
        <w:instrText xml:space="preserve"> PAGEREF _Toc21025 \h </w:instrText>
      </w:r>
      <w:r>
        <w:rPr>
          <w:rFonts w:hint="eastAsia" w:ascii="仿宋" w:hAnsi="仿宋" w:eastAsia="仿宋" w:cs="仿宋"/>
          <w:bCs/>
          <w:sz w:val="28"/>
          <w:szCs w:val="28"/>
          <w:highlight w:val="none"/>
        </w:rPr>
        <w:fldChar w:fldCharType="separate"/>
      </w:r>
      <w:r>
        <w:rPr>
          <w:rFonts w:hint="eastAsia" w:ascii="仿宋" w:hAnsi="仿宋" w:eastAsia="仿宋" w:cs="仿宋"/>
          <w:bCs/>
          <w:sz w:val="28"/>
          <w:szCs w:val="28"/>
          <w:highlight w:val="none"/>
        </w:rPr>
        <w:t>21</w:t>
      </w:r>
      <w:r>
        <w:rPr>
          <w:rFonts w:hint="eastAsia" w:ascii="仿宋" w:hAnsi="仿宋" w:eastAsia="仿宋" w:cs="仿宋"/>
          <w:bCs/>
          <w:sz w:val="28"/>
          <w:szCs w:val="28"/>
          <w:highlight w:val="none"/>
        </w:rPr>
        <w:fldChar w:fldCharType="end"/>
      </w:r>
      <w:r>
        <w:rPr>
          <w:rFonts w:hint="eastAsia" w:ascii="仿宋" w:hAnsi="仿宋" w:eastAsia="仿宋" w:cs="仿宋"/>
          <w:bCs/>
          <w:sz w:val="28"/>
          <w:szCs w:val="28"/>
          <w:highlight w:val="none"/>
        </w:rPr>
        <w:fldChar w:fldCharType="end"/>
      </w:r>
    </w:p>
    <w:p>
      <w:pPr>
        <w:pStyle w:val="8"/>
        <w:tabs>
          <w:tab w:val="right" w:leader="dot" w:pos="8958"/>
          <w:tab w:val="clear" w:pos="8931"/>
        </w:tabs>
        <w:spacing w:line="240" w:lineRule="auto"/>
        <w:rPr>
          <w:rFonts w:ascii="仿宋" w:hAnsi="仿宋" w:eastAsia="仿宋" w:cs="仿宋"/>
          <w:b/>
          <w:bCs/>
          <w:kern w:val="2"/>
          <w:szCs w:val="32"/>
          <w:highlight w:val="none"/>
        </w:rPr>
      </w:pPr>
      <w:r>
        <w:rPr>
          <w:rFonts w:hint="eastAsia" w:ascii="仿宋" w:hAnsi="仿宋" w:eastAsia="仿宋" w:cs="仿宋"/>
          <w:szCs w:val="32"/>
          <w:highlight w:val="none"/>
        </w:rPr>
        <w:fldChar w:fldCharType="end"/>
      </w:r>
    </w:p>
    <w:p>
      <w:pPr>
        <w:jc w:val="center"/>
        <w:rPr>
          <w:rFonts w:cs="方正小标宋_GBK" w:asciiTheme="minorEastAsia" w:hAnsiTheme="minorEastAsia" w:eastAsiaTheme="minorEastAsia"/>
          <w:b/>
          <w:bCs/>
          <w:color w:val="000000"/>
          <w:kern w:val="0"/>
          <w:sz w:val="44"/>
          <w:szCs w:val="44"/>
          <w:highlight w:val="none"/>
        </w:rPr>
      </w:pPr>
    </w:p>
    <w:p>
      <w:pPr>
        <w:jc w:val="center"/>
        <w:rPr>
          <w:rFonts w:cs="方正小标宋_GBK" w:asciiTheme="minorEastAsia" w:hAnsiTheme="minorEastAsia" w:eastAsiaTheme="minorEastAsia"/>
          <w:b/>
          <w:bCs/>
          <w:color w:val="000000"/>
          <w:kern w:val="0"/>
          <w:sz w:val="44"/>
          <w:szCs w:val="44"/>
          <w:highlight w:val="none"/>
        </w:rPr>
        <w:sectPr>
          <w:footerReference r:id="rId7" w:type="default"/>
          <w:pgSz w:w="11906" w:h="16838"/>
          <w:pgMar w:top="1440" w:right="1800" w:bottom="1440" w:left="1800" w:header="851" w:footer="992" w:gutter="0"/>
          <w:pgNumType w:start="1"/>
          <w:cols w:space="425" w:num="1"/>
          <w:docGrid w:type="lines" w:linePitch="312" w:charSpace="0"/>
        </w:sectPr>
      </w:pPr>
    </w:p>
    <w:p>
      <w:pPr>
        <w:snapToGrid w:val="0"/>
        <w:spacing w:line="360" w:lineRule="auto"/>
        <w:jc w:val="center"/>
        <w:outlineLvl w:val="0"/>
        <w:rPr>
          <w:rFonts w:cs="方正小标宋_GBK" w:asciiTheme="minorEastAsia" w:hAnsiTheme="minorEastAsia" w:eastAsiaTheme="minorEastAsia"/>
          <w:b/>
          <w:bCs/>
          <w:color w:val="000000"/>
          <w:kern w:val="0"/>
          <w:sz w:val="44"/>
          <w:szCs w:val="44"/>
          <w:highlight w:val="none"/>
        </w:rPr>
      </w:pPr>
      <w:bookmarkStart w:id="0" w:name="_Toc8577"/>
      <w:bookmarkStart w:id="1" w:name="_Toc29156"/>
      <w:bookmarkStart w:id="2" w:name="_Toc32274"/>
      <w:bookmarkStart w:id="3" w:name="_Toc20569"/>
      <w:bookmarkStart w:id="4" w:name="_Toc8308"/>
      <w:bookmarkStart w:id="5" w:name="_Toc14782"/>
      <w:r>
        <w:rPr>
          <w:rFonts w:hint="eastAsia" w:cs="方正小标宋_GBK" w:asciiTheme="minorEastAsia" w:hAnsiTheme="minorEastAsia" w:eastAsiaTheme="minorEastAsia"/>
          <w:b/>
          <w:bCs/>
          <w:color w:val="000000"/>
          <w:kern w:val="0"/>
          <w:sz w:val="44"/>
          <w:szCs w:val="44"/>
          <w:highlight w:val="none"/>
        </w:rPr>
        <w:t>景洪水电站勐海库区勐海县勐往乡灰塘</w:t>
      </w:r>
      <w:bookmarkEnd w:id="0"/>
      <w:bookmarkEnd w:id="1"/>
      <w:bookmarkEnd w:id="2"/>
      <w:bookmarkEnd w:id="3"/>
      <w:bookmarkEnd w:id="4"/>
      <w:bookmarkEnd w:id="5"/>
    </w:p>
    <w:p>
      <w:pPr>
        <w:snapToGrid w:val="0"/>
        <w:spacing w:line="360" w:lineRule="auto"/>
        <w:jc w:val="center"/>
        <w:outlineLvl w:val="0"/>
        <w:rPr>
          <w:rFonts w:hint="eastAsia" w:cs="方正小标宋_GBK" w:asciiTheme="minorEastAsia" w:hAnsiTheme="minorEastAsia" w:eastAsiaTheme="minorEastAsia"/>
          <w:b/>
          <w:bCs/>
          <w:color w:val="000000"/>
          <w:kern w:val="0"/>
          <w:sz w:val="44"/>
          <w:szCs w:val="44"/>
          <w:highlight w:val="none"/>
        </w:rPr>
      </w:pPr>
      <w:bookmarkStart w:id="6" w:name="_Toc23588"/>
      <w:bookmarkStart w:id="7" w:name="_Toc4070"/>
      <w:bookmarkStart w:id="8" w:name="_Toc17875"/>
      <w:bookmarkStart w:id="9" w:name="_Toc26552"/>
      <w:bookmarkStart w:id="10" w:name="_Toc17703"/>
      <w:bookmarkStart w:id="11" w:name="_Toc29775"/>
      <w:r>
        <w:rPr>
          <w:rFonts w:hint="eastAsia" w:cs="方正小标宋_GBK" w:asciiTheme="minorEastAsia" w:hAnsiTheme="minorEastAsia" w:eastAsiaTheme="minorEastAsia"/>
          <w:b/>
          <w:bCs/>
          <w:color w:val="000000"/>
          <w:kern w:val="0"/>
          <w:sz w:val="44"/>
          <w:szCs w:val="44"/>
          <w:highlight w:val="none"/>
        </w:rPr>
        <w:t>村委会野谷塘人畜供水项目</w:t>
      </w:r>
    </w:p>
    <w:p>
      <w:pPr>
        <w:snapToGrid w:val="0"/>
        <w:spacing w:line="360" w:lineRule="auto"/>
        <w:jc w:val="center"/>
        <w:outlineLvl w:val="0"/>
        <w:rPr>
          <w:rFonts w:cs="方正小标宋_GBK" w:asciiTheme="minorEastAsia" w:hAnsiTheme="minorEastAsia" w:eastAsiaTheme="minorEastAsia"/>
          <w:b/>
          <w:bCs/>
          <w:color w:val="000000"/>
          <w:kern w:val="0"/>
          <w:sz w:val="44"/>
          <w:szCs w:val="44"/>
          <w:highlight w:val="none"/>
        </w:rPr>
      </w:pPr>
      <w:r>
        <w:rPr>
          <w:rFonts w:hint="eastAsia" w:cs="方正小标宋_GBK" w:asciiTheme="minorEastAsia" w:hAnsiTheme="minorEastAsia" w:eastAsiaTheme="minorEastAsia"/>
          <w:b/>
          <w:bCs/>
          <w:color w:val="000000"/>
          <w:kern w:val="0"/>
          <w:sz w:val="44"/>
          <w:szCs w:val="44"/>
          <w:highlight w:val="none"/>
        </w:rPr>
        <w:t>绩效</w:t>
      </w:r>
      <w:bookmarkEnd w:id="6"/>
      <w:bookmarkEnd w:id="7"/>
      <w:bookmarkEnd w:id="8"/>
      <w:bookmarkEnd w:id="9"/>
      <w:bookmarkEnd w:id="10"/>
      <w:bookmarkEnd w:id="11"/>
      <w:bookmarkStart w:id="12" w:name="_Toc29946"/>
      <w:bookmarkStart w:id="13" w:name="_Toc13242"/>
      <w:bookmarkStart w:id="14" w:name="_Toc3405"/>
      <w:bookmarkStart w:id="15" w:name="_Toc17478"/>
      <w:bookmarkStart w:id="16" w:name="_Toc21999"/>
      <w:bookmarkStart w:id="17" w:name="_Toc29234"/>
      <w:r>
        <w:rPr>
          <w:rFonts w:hint="eastAsia" w:cs="方正小标宋_GBK" w:asciiTheme="minorEastAsia" w:hAnsiTheme="minorEastAsia" w:eastAsiaTheme="minorEastAsia"/>
          <w:b/>
          <w:bCs/>
          <w:color w:val="000000"/>
          <w:kern w:val="0"/>
          <w:sz w:val="44"/>
          <w:szCs w:val="44"/>
          <w:highlight w:val="none"/>
        </w:rPr>
        <w:t>评价报告</w:t>
      </w:r>
      <w:bookmarkEnd w:id="12"/>
      <w:bookmarkEnd w:id="13"/>
      <w:bookmarkEnd w:id="14"/>
      <w:bookmarkEnd w:id="15"/>
      <w:bookmarkEnd w:id="16"/>
      <w:bookmarkEnd w:id="17"/>
    </w:p>
    <w:p>
      <w:pPr>
        <w:jc w:val="center"/>
        <w:outlineLvl w:val="0"/>
        <w:rPr>
          <w:rFonts w:cs="方正小标宋_GBK" w:asciiTheme="minorEastAsia" w:hAnsiTheme="minorEastAsia" w:eastAsiaTheme="minorEastAsia"/>
          <w:b/>
          <w:bCs/>
          <w:color w:val="000000"/>
          <w:kern w:val="0"/>
          <w:sz w:val="44"/>
          <w:szCs w:val="44"/>
          <w:highlight w:val="none"/>
        </w:rPr>
      </w:pPr>
    </w:p>
    <w:p>
      <w:pPr>
        <w:spacing w:line="360" w:lineRule="auto"/>
        <w:ind w:firstLine="640" w:firstLineChars="200"/>
        <w:rPr>
          <w:rStyle w:val="12"/>
          <w:rFonts w:hint="default" w:hAnsi="Mongolian Baiti" w:cs="Mongolian Baiti"/>
          <w:szCs w:val="32"/>
          <w:highlight w:val="none"/>
        </w:rPr>
      </w:pPr>
      <w:r>
        <w:rPr>
          <w:rStyle w:val="12"/>
          <w:rFonts w:hint="default" w:hAnsi="Mongolian Baiti" w:cs="Mongolian Baiti"/>
          <w:szCs w:val="32"/>
          <w:highlight w:val="none"/>
        </w:rPr>
        <w:t>根据《中华人民共和国预算法》规定，按照勐海县财政局关于《勐海县项目支出绩效评价管理实施办法》的通知（海财会监绩字〔2021〕2号）、《勐海县财政局关于开展2021-2022年度财政评价的通知》（海财会监绩〔2022〕31号）的要求，2022年9月1日至10月31日，受勐海县财政局委托，云南信立会计师事务所有限公司对景洪水电站勐海库区勐海县勐往乡灰塘村委会野谷塘人畜供水项目的绩效进行评价。现将评价过程及结果报告如下：</w:t>
      </w:r>
    </w:p>
    <w:p>
      <w:pPr>
        <w:pStyle w:val="3"/>
        <w:spacing w:before="0" w:after="0" w:line="360" w:lineRule="auto"/>
        <w:ind w:firstLine="640" w:firstLineChars="200"/>
        <w:rPr>
          <w:rFonts w:ascii="仿宋_GB2312" w:hAnsi="方正黑体_GBK" w:eastAsia="仿宋_GB2312" w:cs="方正黑体_GBK"/>
          <w:sz w:val="32"/>
          <w:szCs w:val="32"/>
          <w:highlight w:val="none"/>
          <w:lang w:val="zh-CN"/>
        </w:rPr>
      </w:pPr>
      <w:bookmarkStart w:id="18" w:name="_Toc24704"/>
      <w:bookmarkStart w:id="19" w:name="_Toc22598"/>
      <w:r>
        <w:rPr>
          <w:rFonts w:hint="eastAsia" w:ascii="黑体" w:hAnsi="黑体" w:eastAsia="黑体"/>
          <w:b w:val="0"/>
          <w:color w:val="000000"/>
          <w:sz w:val="32"/>
          <w:szCs w:val="32"/>
          <w:highlight w:val="none"/>
        </w:rPr>
        <w:t>一、项目基本情况</w:t>
      </w:r>
      <w:bookmarkEnd w:id="18"/>
      <w:bookmarkEnd w:id="19"/>
    </w:p>
    <w:p>
      <w:pPr>
        <w:pStyle w:val="4"/>
        <w:spacing w:before="0" w:after="0" w:line="360" w:lineRule="auto"/>
        <w:ind w:firstLine="643" w:firstLineChars="200"/>
        <w:rPr>
          <w:rFonts w:ascii="仿宋_GB2312" w:hAnsi="方正楷体_GBK" w:eastAsia="仿宋_GB2312" w:cs="方正楷体_GBK"/>
          <w:highlight w:val="none"/>
          <w:lang w:val="zh-CN"/>
        </w:rPr>
      </w:pPr>
      <w:bookmarkStart w:id="20" w:name="_Toc15785"/>
      <w:bookmarkStart w:id="21" w:name="_Toc12265"/>
      <w:r>
        <w:rPr>
          <w:rFonts w:hint="eastAsia" w:ascii="楷体_GB2312" w:eastAsia="楷体_GB2312" w:cs="Times New Roman"/>
          <w:color w:val="000000"/>
          <w:highlight w:val="none"/>
        </w:rPr>
        <w:t>（一）项目概况</w:t>
      </w:r>
      <w:bookmarkEnd w:id="20"/>
      <w:bookmarkEnd w:id="21"/>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1.项目立项背景</w:t>
      </w:r>
    </w:p>
    <w:p>
      <w:pPr>
        <w:spacing w:line="360" w:lineRule="auto"/>
        <w:ind w:firstLine="640" w:firstLineChars="200"/>
        <w:rPr>
          <w:rStyle w:val="12"/>
          <w:rFonts w:hint="default" w:hAnsi="Mongolian Baiti" w:cs="Mongolian Baiti"/>
          <w:szCs w:val="32"/>
          <w:highlight w:val="none"/>
        </w:rPr>
      </w:pPr>
      <w:r>
        <w:rPr>
          <w:rStyle w:val="12"/>
          <w:rFonts w:hint="default" w:hAnsi="Mongolian Baiti" w:cs="Mongolian Baiti"/>
          <w:szCs w:val="32"/>
          <w:highlight w:val="none"/>
        </w:rPr>
        <w:t>野谷塘村小组村内现有的自来水管网破损严重，原有的蓄水池已不能满足村民的生产生活、牲畜用水需要。根据《国务院关于完善大中型水库移民后期扶持政策的意见》(国发〔2006〕17号)、《国家发改委关于云南大中型水库库区和移民安置区基础设施建设和经济发展规划纲要的复函》(发改农经〔2008〕1358号)、西双版纳州搬迁安置办公室转发云南省搬迁安置办公室《关于开展2021年度计划项目前期工作的通知》(西搬发〔2020〕6号)等相关文件精神和当地村民的意见。为改善移民安置区移民的生活，提高移民生活水平质量，有效改善往乡灰塘村委会野谷塘村小组207户733人库区人畜用水条件，解决人畜饮水安全问题，开展景洪水电站勐海库区勐往乡灰塘村委会野谷塘村小组人畜供水项目。</w:t>
      </w:r>
    </w:p>
    <w:p>
      <w:pPr>
        <w:spacing w:line="360" w:lineRule="auto"/>
        <w:ind w:firstLine="640" w:firstLineChars="200"/>
        <w:jc w:val="left"/>
        <w:rPr>
          <w:rStyle w:val="12"/>
          <w:rFonts w:hint="default" w:hAnsi="Mongolian Baiti" w:cs="Mongolian Baiti"/>
          <w:highlight w:val="none"/>
        </w:rPr>
      </w:pPr>
      <w:bookmarkStart w:id="22" w:name="_Toc16076"/>
      <w:r>
        <w:rPr>
          <w:rStyle w:val="12"/>
          <w:rFonts w:hint="default" w:hAnsi="Mongolian Baiti" w:cs="Mongolian Baiti"/>
          <w:highlight w:val="none"/>
        </w:rPr>
        <w:t>2.项目实施情况</w:t>
      </w:r>
      <w:bookmarkEnd w:id="22"/>
    </w:p>
    <w:p>
      <w:pPr>
        <w:spacing w:line="360" w:lineRule="auto"/>
        <w:ind w:firstLine="640" w:firstLineChars="200"/>
        <w:jc w:val="left"/>
        <w:rPr>
          <w:rStyle w:val="12"/>
          <w:rFonts w:hint="default" w:hAnsi="Mongolian Baiti" w:cs="Mongolian Baiti"/>
          <w:highlight w:val="none"/>
        </w:rPr>
      </w:pPr>
      <w:r>
        <w:rPr>
          <w:rStyle w:val="12"/>
          <w:rFonts w:hint="default" w:hAnsi="Mongolian Baiti" w:cs="Mongolian Baiti"/>
          <w:highlight w:val="none"/>
        </w:rPr>
        <w:t>（1）项目实施情况</w:t>
      </w:r>
    </w:p>
    <w:p>
      <w:pPr>
        <w:spacing w:line="360" w:lineRule="auto"/>
        <w:ind w:firstLine="640" w:firstLineChars="200"/>
        <w:jc w:val="left"/>
        <w:rPr>
          <w:rStyle w:val="12"/>
          <w:rFonts w:hint="default" w:hAnsi="Mongolian Baiti" w:cs="Mongolian Baiti"/>
          <w:highlight w:val="none"/>
        </w:rPr>
      </w:pPr>
      <w:r>
        <w:rPr>
          <w:rStyle w:val="12"/>
          <w:rFonts w:hint="default" w:hAnsi="Mongolian Baiti" w:cs="Mongolian Baiti"/>
          <w:highlight w:val="none"/>
        </w:rPr>
        <w:t>勐海县搬迁安置办公室为项目责任单位，负责项目的规划实施、工程设施的建设、工程的施工招标、施工监理、竣工验收、资金和物资使用、建设项目资金审计以及项目组织协调等工作。</w:t>
      </w:r>
    </w:p>
    <w:p>
      <w:pPr>
        <w:spacing w:line="360" w:lineRule="auto"/>
        <w:ind w:firstLine="640" w:firstLineChars="200"/>
        <w:jc w:val="left"/>
        <w:rPr>
          <w:rStyle w:val="12"/>
          <w:rFonts w:hint="default" w:hAnsi="Mongolian Baiti" w:cs="Mongolian Baiti"/>
          <w:highlight w:val="none"/>
        </w:rPr>
      </w:pPr>
      <w:r>
        <w:rPr>
          <w:rStyle w:val="12"/>
          <w:rFonts w:hint="default" w:hAnsi="Mongolian Baiti" w:cs="Mongolian Baiti"/>
          <w:highlight w:val="none"/>
        </w:rPr>
        <w:t>同时，勐海县搬迁安置办公室根据财政部关于印发《大中型水库移民后期扶持基金项目资金管理办法》（财农〔2017〕128号）的通知，</w:t>
      </w:r>
      <w:r>
        <w:rPr>
          <w:rFonts w:hint="eastAsia" w:ascii="宋体" w:hAnsi="宋体" w:eastAsia="仿宋_GB2312"/>
          <w:sz w:val="32"/>
          <w:szCs w:val="32"/>
          <w:highlight w:val="none"/>
          <w:lang w:bidi="ar"/>
        </w:rPr>
        <w:t>本着科学规范、公开透明，统筹兼顾、突出重点，绩效管理、强化监督的原则，</w:t>
      </w:r>
      <w:r>
        <w:rPr>
          <w:rStyle w:val="12"/>
          <w:rFonts w:hint="default" w:hAnsi="Mongolian Baiti" w:cs="Mongolian Baiti"/>
          <w:highlight w:val="none"/>
        </w:rPr>
        <w:t>对项目资金的分配、使用、管理和监督等情况进行管理。</w:t>
      </w:r>
    </w:p>
    <w:p>
      <w:pPr>
        <w:spacing w:line="360" w:lineRule="auto"/>
        <w:ind w:firstLine="640" w:firstLineChars="200"/>
        <w:jc w:val="left"/>
        <w:rPr>
          <w:rStyle w:val="12"/>
          <w:rFonts w:hint="default" w:hAnsi="Mongolian Baiti" w:cs="Mongolian Baiti"/>
          <w:highlight w:val="none"/>
        </w:rPr>
      </w:pPr>
      <w:r>
        <w:rPr>
          <w:rStyle w:val="12"/>
          <w:rFonts w:hint="default" w:hAnsi="Mongolian Baiti" w:cs="Mongolian Baiti"/>
          <w:highlight w:val="none"/>
        </w:rPr>
        <w:t>（2）项目批复、建设主要内容</w:t>
      </w:r>
    </w:p>
    <w:p>
      <w:pPr>
        <w:spacing w:line="360" w:lineRule="auto"/>
        <w:ind w:firstLine="640" w:firstLineChars="200"/>
        <w:rPr>
          <w:rStyle w:val="12"/>
          <w:rFonts w:hint="default" w:hAnsi="Mongolian Baiti" w:cs="Mongolian Baiti"/>
          <w:highlight w:val="none"/>
        </w:rPr>
      </w:pPr>
      <w:r>
        <w:rPr>
          <w:rStyle w:val="12"/>
          <w:rFonts w:hint="default" w:ascii="仿宋" w:hAnsi="仿宋" w:eastAsia="仿宋" w:cs="Mongolian Baiti"/>
          <w:highlight w:val="none"/>
        </w:rPr>
        <w:t>①</w:t>
      </w:r>
      <w:r>
        <w:rPr>
          <w:rStyle w:val="12"/>
          <w:rFonts w:hint="default" w:hAnsi="Mongolian Baiti" w:cs="Mongolian Baiti"/>
          <w:highlight w:val="none"/>
        </w:rPr>
        <w:t>项目批复情况</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2020年11月24日，根据西双版纳傣族自治州搬迁安置办公室《景洪水电站勐海库区勐往乡灰塘村委会野谷塘村小组人畜供水项目可行性研究报告的批复》（西搬复〔2020〕24号）文件，批准项目实施。批准建设内容为：新建250m³蓄水池1座、沉淀池（过滤池）2座。配套工程</w:t>
      </w:r>
      <w:r>
        <w:rPr>
          <w:rStyle w:val="12"/>
          <w:rFonts w:hAnsi="Mongolian Baiti" w:cs="Mongolian Baiti"/>
          <w:highlight w:val="none"/>
        </w:rPr>
        <w:t>：</w:t>
      </w:r>
      <w:r>
        <w:rPr>
          <w:rStyle w:val="12"/>
          <w:rFonts w:hint="default" w:hAnsi="Mongolian Baiti" w:cs="Mongolian Baiti"/>
          <w:highlight w:val="none"/>
        </w:rPr>
        <w:t>主供水管道采用PE聚乙烯给水管（Φ90,1.6Mpa），管长20000m；支供水管采用PE聚乙烯给水管（Φ50,1.6Mpa），管长4700m；入户供水管为PE聚乙烯给水管（Φ32,1.6Mpa），管长5210m；安装水龙头210个，闸阀210个（规格Φ32），水表210个（规格Φ25）；水表井、水槽210个；破路面积及恢复1000㎡；镀锌钢管套管500m（规格Φ100）；修复原供水管网，采用PE聚乙烯给水管（Φ75,1.6Mpa），管长5000m。</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项目批复总投资406.11万元，资金来源为申请大中型水库移民后期扶持专项资金。</w:t>
      </w:r>
    </w:p>
    <w:p>
      <w:pPr>
        <w:spacing w:line="360" w:lineRule="auto"/>
        <w:ind w:firstLine="640" w:firstLineChars="200"/>
        <w:rPr>
          <w:rStyle w:val="12"/>
          <w:rFonts w:hint="default" w:hAnsi="Mongolian Baiti" w:cs="Mongolian Baiti"/>
          <w:highlight w:val="none"/>
        </w:rPr>
      </w:pPr>
      <w:r>
        <w:rPr>
          <w:rStyle w:val="12"/>
          <w:rFonts w:hint="default" w:ascii="仿宋" w:hAnsi="仿宋" w:eastAsia="仿宋" w:cs="Mongolian Baiti"/>
          <w:highlight w:val="none"/>
        </w:rPr>
        <w:t>②</w:t>
      </w:r>
      <w:r>
        <w:rPr>
          <w:rStyle w:val="12"/>
          <w:rFonts w:hint="default" w:hAnsi="Mongolian Baiti" w:cs="Mongolian Baiti"/>
          <w:highlight w:val="none"/>
        </w:rPr>
        <w:t>项目开工、完工以及验收情况</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根据提供的合同和验收报告，项目计划于2021年6月18日开工，2021年11月15日完工；实际于2021年6月18日开工，2021年11月15日完工，项目已在计划工期内开工并完工。</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根据提供竣工验收报告，勐海县搬迁安置办公室于2021年11月15日组织监理单位、施工单位、设计单位进行了竣工验收，验收结论为：工程质量合格，同意验收。</w:t>
      </w:r>
    </w:p>
    <w:p>
      <w:pPr>
        <w:spacing w:line="360" w:lineRule="auto"/>
        <w:ind w:firstLine="640" w:firstLineChars="200"/>
        <w:jc w:val="left"/>
        <w:rPr>
          <w:rStyle w:val="12"/>
          <w:rFonts w:hint="default" w:hAnsi="Mongolian Baiti" w:cs="Mongolian Baiti"/>
          <w:highlight w:val="none"/>
        </w:rPr>
      </w:pPr>
      <w:r>
        <w:rPr>
          <w:rStyle w:val="12"/>
          <w:rFonts w:hint="default" w:hAnsi="Mongolian Baiti" w:cs="Mongolian Baiti"/>
          <w:highlight w:val="none"/>
        </w:rPr>
        <w:t>3.资金来源和使用情况</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（1）收入情况</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根据西双版纳傣族自治州搬迁安置办公室《关于景洪水电站勐海库区勐往乡灰塘村委会野谷塘村小组人畜供水项目可行性研究报告的批复》（西搬复〔2020〕24号）文件，项目批复总投资406.11万元，资金来源为申请大中型水库移民后期扶持专项资金。截止2021年12月31日，项目到位资金共406万元，资金到位率99.97%,到位资金详见下表：</w:t>
      </w:r>
    </w:p>
    <w:p>
      <w:pPr>
        <w:widowControl/>
        <w:jc w:val="center"/>
        <w:textAlignment w:val="center"/>
        <w:rPr>
          <w:rFonts w:ascii="仿宋" w:hAnsi="仿宋" w:eastAsia="仿宋" w:cs="仿宋"/>
          <w:b/>
          <w:bCs/>
          <w:color w:val="000000"/>
          <w:kern w:val="0"/>
          <w:sz w:val="28"/>
          <w:szCs w:val="28"/>
          <w:highlight w:val="none"/>
          <w:lang w:bidi="ar"/>
        </w:rPr>
      </w:pPr>
      <w:r>
        <w:rPr>
          <w:rFonts w:hint="eastAsia" w:ascii="仿宋" w:hAnsi="仿宋" w:eastAsia="仿宋" w:cs="仿宋"/>
          <w:b/>
          <w:bCs/>
          <w:color w:val="000000"/>
          <w:kern w:val="0"/>
          <w:sz w:val="28"/>
          <w:szCs w:val="28"/>
          <w:highlight w:val="none"/>
          <w:lang w:bidi="ar"/>
        </w:rPr>
        <w:t>项目资金收入明细表</w:t>
      </w:r>
    </w:p>
    <w:p>
      <w:pPr>
        <w:spacing w:line="360" w:lineRule="auto"/>
        <w:ind w:firstLine="562" w:firstLineChars="200"/>
        <w:jc w:val="right"/>
        <w:rPr>
          <w:rFonts w:ascii="仿宋" w:hAnsi="仿宋" w:eastAsia="仿宋" w:cs="仿宋"/>
          <w:b/>
          <w:bCs/>
          <w:color w:val="000000"/>
          <w:kern w:val="0"/>
          <w:sz w:val="28"/>
          <w:szCs w:val="28"/>
          <w:highlight w:val="none"/>
          <w:lang w:bidi="ar"/>
        </w:rPr>
      </w:pPr>
      <w:r>
        <w:rPr>
          <w:rFonts w:hint="eastAsia" w:ascii="仿宋" w:hAnsi="仿宋" w:eastAsia="仿宋" w:cs="仿宋"/>
          <w:b/>
          <w:bCs/>
          <w:color w:val="000000"/>
          <w:kern w:val="0"/>
          <w:sz w:val="28"/>
          <w:szCs w:val="28"/>
          <w:highlight w:val="none"/>
          <w:lang w:bidi="ar"/>
        </w:rPr>
        <w:t>单位：元</w:t>
      </w:r>
    </w:p>
    <w:p>
      <w:pPr>
        <w:spacing w:line="360" w:lineRule="auto"/>
        <w:ind w:firstLine="420" w:firstLineChars="200"/>
        <w:rPr>
          <w:rFonts w:ascii="仿宋" w:hAnsi="仿宋" w:eastAsia="仿宋" w:cs="仿宋"/>
          <w:b/>
          <w:bCs/>
          <w:color w:val="000000"/>
          <w:kern w:val="0"/>
          <w:sz w:val="28"/>
          <w:szCs w:val="28"/>
          <w:highlight w:val="none"/>
          <w:lang w:bidi="ar"/>
        </w:rPr>
      </w:pPr>
      <w:r>
        <w:rPr>
          <w:highlight w:val="none"/>
        </w:rPr>
        <w:drawing>
          <wp:inline distT="0" distB="0" distL="114300" distR="114300">
            <wp:extent cx="5274310" cy="1296035"/>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1296035"/>
                    </a:xfrm>
                    <a:prstGeom prst="rect">
                      <a:avLst/>
                    </a:prstGeom>
                    <a:noFill/>
                    <a:ln>
                      <a:noFill/>
                    </a:ln>
                  </pic:spPr>
                </pic:pic>
              </a:graphicData>
            </a:graphic>
          </wp:inline>
        </w:drawing>
      </w:r>
    </w:p>
    <w:p>
      <w:pPr>
        <w:spacing w:line="360" w:lineRule="auto"/>
        <w:ind w:firstLine="640" w:firstLineChars="200"/>
        <w:jc w:val="left"/>
        <w:rPr>
          <w:rStyle w:val="12"/>
          <w:rFonts w:hint="default" w:hAnsi="Mongolian Baiti" w:cs="Mongolian Baiti"/>
          <w:highlight w:val="none"/>
        </w:rPr>
      </w:pPr>
      <w:r>
        <w:rPr>
          <w:rStyle w:val="12"/>
          <w:rFonts w:hint="default" w:hAnsi="Mongolian Baiti" w:cs="Mongolian Baiti"/>
          <w:highlight w:val="none"/>
        </w:rPr>
        <w:t>（2）支出情况</w:t>
      </w:r>
    </w:p>
    <w:p>
      <w:pPr>
        <w:ind w:firstLine="640" w:firstLineChars="200"/>
        <w:rPr>
          <w:rStyle w:val="12"/>
          <w:rFonts w:hint="default" w:hAnsi="Mongolian Baiti" w:cs="Mongolian Baiti"/>
          <w:highlight w:val="none"/>
        </w:rPr>
      </w:pPr>
      <w:r>
        <w:rPr>
          <w:rStyle w:val="12"/>
          <w:rFonts w:hint="default" w:hAnsi="Mongolian Baiti" w:cs="Mongolian Baiti"/>
          <w:highlight w:val="none"/>
        </w:rPr>
        <w:t>根据提供的财务核算资料，截止2021年12月31日，项目支出资金共计364.32万元，资金使用率89.73%，其中：建筑安装工程投资333.33万元、待摊投资30.59万元、差旅费0.40万元。资金使用情况详见下表：</w:t>
      </w:r>
    </w:p>
    <w:p>
      <w:pPr>
        <w:pStyle w:val="2"/>
        <w:spacing w:line="360" w:lineRule="auto"/>
        <w:jc w:val="center"/>
        <w:rPr>
          <w:rStyle w:val="12"/>
          <w:rFonts w:hint="default" w:hAnsi="Mongolian Baiti" w:cs="Mongolian Baiti"/>
          <w:b/>
          <w:sz w:val="28"/>
          <w:szCs w:val="28"/>
          <w:highlight w:val="none"/>
        </w:rPr>
      </w:pPr>
    </w:p>
    <w:p>
      <w:pPr>
        <w:pStyle w:val="2"/>
        <w:spacing w:line="360" w:lineRule="auto"/>
        <w:jc w:val="center"/>
        <w:rPr>
          <w:rStyle w:val="12"/>
          <w:rFonts w:hint="default" w:hAnsi="Mongolian Baiti" w:cs="Mongolian Baiti"/>
          <w:b/>
          <w:sz w:val="28"/>
          <w:szCs w:val="28"/>
          <w:highlight w:val="none"/>
        </w:rPr>
      </w:pPr>
      <w:r>
        <w:rPr>
          <w:rStyle w:val="12"/>
          <w:rFonts w:hint="default" w:hAnsi="Mongolian Baiti" w:cs="Mongolian Baiti"/>
          <w:b/>
          <w:sz w:val="28"/>
          <w:szCs w:val="28"/>
          <w:highlight w:val="none"/>
        </w:rPr>
        <w:t>项目资金支出明细表</w:t>
      </w:r>
    </w:p>
    <w:p>
      <w:pPr>
        <w:pStyle w:val="2"/>
        <w:spacing w:line="360" w:lineRule="auto"/>
        <w:jc w:val="right"/>
        <w:rPr>
          <w:rStyle w:val="12"/>
          <w:rFonts w:hint="default" w:hAnsi="Mongolian Baiti" w:cs="Mongolian Baiti"/>
          <w:b/>
          <w:bCs/>
          <w:sz w:val="28"/>
          <w:szCs w:val="22"/>
          <w:highlight w:val="none"/>
        </w:rPr>
      </w:pPr>
      <w:r>
        <w:rPr>
          <w:rStyle w:val="12"/>
          <w:rFonts w:hint="default" w:hAnsi="Mongolian Baiti" w:cs="Mongolian Baiti"/>
          <w:b/>
          <w:bCs/>
          <w:sz w:val="28"/>
          <w:szCs w:val="22"/>
          <w:highlight w:val="none"/>
        </w:rPr>
        <w:t>单位：元</w:t>
      </w:r>
    </w:p>
    <w:p>
      <w:pPr>
        <w:pStyle w:val="2"/>
        <w:spacing w:line="360" w:lineRule="auto"/>
        <w:jc w:val="center"/>
        <w:rPr>
          <w:rStyle w:val="12"/>
          <w:rFonts w:hint="default" w:hAnsi="Mongolian Baiti" w:cs="Mongolian Baiti"/>
          <w:b/>
          <w:sz w:val="28"/>
          <w:szCs w:val="28"/>
          <w:highlight w:val="none"/>
        </w:rPr>
      </w:pPr>
      <w:r>
        <w:rPr>
          <w:highlight w:val="none"/>
        </w:rPr>
        <w:drawing>
          <wp:inline distT="0" distB="0" distL="114300" distR="114300">
            <wp:extent cx="5274310" cy="1132840"/>
            <wp:effectExtent l="0" t="0" r="2540"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274310" cy="1132840"/>
                    </a:xfrm>
                    <a:prstGeom prst="rect">
                      <a:avLst/>
                    </a:prstGeom>
                    <a:noFill/>
                    <a:ln>
                      <a:noFill/>
                    </a:ln>
                  </pic:spPr>
                </pic:pic>
              </a:graphicData>
            </a:graphic>
          </wp:inline>
        </w:drawing>
      </w:r>
    </w:p>
    <w:p>
      <w:pPr>
        <w:pStyle w:val="2"/>
        <w:spacing w:line="360" w:lineRule="auto"/>
        <w:jc w:val="right"/>
        <w:rPr>
          <w:rStyle w:val="12"/>
          <w:rFonts w:hint="default" w:hAnsi="Mongolian Baiti" w:cs="Mongolian Baiti"/>
          <w:b/>
          <w:bCs/>
          <w:sz w:val="28"/>
          <w:szCs w:val="22"/>
          <w:highlight w:val="none"/>
        </w:rPr>
      </w:pPr>
      <w:r>
        <w:rPr>
          <w:highlight w:val="none"/>
        </w:rPr>
        <w:drawing>
          <wp:inline distT="0" distB="0" distL="114300" distR="114300">
            <wp:extent cx="5274310" cy="2759710"/>
            <wp:effectExtent l="0" t="0" r="2540"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274310" cy="2759710"/>
                    </a:xfrm>
                    <a:prstGeom prst="rect">
                      <a:avLst/>
                    </a:prstGeom>
                    <a:noFill/>
                    <a:ln>
                      <a:noFill/>
                    </a:ln>
                  </pic:spPr>
                </pic:pic>
              </a:graphicData>
            </a:graphic>
          </wp:inline>
        </w:drawing>
      </w:r>
    </w:p>
    <w:p>
      <w:pPr>
        <w:spacing w:line="360" w:lineRule="auto"/>
        <w:ind w:firstLine="640" w:firstLineChars="200"/>
        <w:jc w:val="left"/>
        <w:rPr>
          <w:rStyle w:val="12"/>
          <w:rFonts w:hint="default" w:hAnsi="Mongolian Baiti" w:cs="Mongolian Baiti"/>
          <w:highlight w:val="none"/>
        </w:rPr>
      </w:pPr>
      <w:r>
        <w:rPr>
          <w:rStyle w:val="12"/>
          <w:rFonts w:hint="default" w:hAnsi="Mongolian Baiti" w:cs="Mongolian Baiti"/>
          <w:highlight w:val="none"/>
        </w:rPr>
        <w:t>（3）资金结余情况</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截止2021年12月31日，项目共到位资金406万元，共支出资金364.32万元，结余资金41.68万元，结余率10.27%，结余资金已结转到2022年度继续使用。</w:t>
      </w:r>
      <w:bookmarkStart w:id="23" w:name="_Toc21921"/>
    </w:p>
    <w:p>
      <w:pPr>
        <w:spacing w:line="360" w:lineRule="auto"/>
        <w:ind w:firstLine="640" w:firstLineChars="200"/>
        <w:jc w:val="left"/>
        <w:rPr>
          <w:rFonts w:ascii="楷体_GB2312" w:eastAsia="楷体_GB2312"/>
          <w:color w:val="000000"/>
          <w:sz w:val="32"/>
          <w:szCs w:val="32"/>
          <w:highlight w:val="none"/>
        </w:rPr>
      </w:pPr>
      <w:r>
        <w:rPr>
          <w:rFonts w:hint="eastAsia" w:ascii="楷体_GB2312" w:eastAsia="楷体_GB2312"/>
          <w:color w:val="000000"/>
          <w:sz w:val="32"/>
          <w:szCs w:val="32"/>
          <w:highlight w:val="none"/>
        </w:rPr>
        <w:t>（二）项目绩效目标</w:t>
      </w:r>
      <w:bookmarkEnd w:id="23"/>
    </w:p>
    <w:p>
      <w:pPr>
        <w:spacing w:line="360" w:lineRule="auto"/>
        <w:ind w:firstLine="640" w:firstLineChars="200"/>
        <w:outlineLvl w:val="2"/>
        <w:rPr>
          <w:rStyle w:val="12"/>
          <w:rFonts w:hint="default" w:hAnsi="Mongolian Baiti" w:cs="Mongolian Baiti"/>
          <w:highlight w:val="none"/>
        </w:rPr>
      </w:pPr>
      <w:r>
        <w:rPr>
          <w:rFonts w:hint="eastAsia" w:ascii="仿宋_GB2312" w:hAnsi="仿宋" w:eastAsia="仿宋_GB2312"/>
          <w:bCs/>
          <w:color w:val="000000"/>
          <w:sz w:val="32"/>
          <w:szCs w:val="32"/>
          <w:highlight w:val="none"/>
        </w:rPr>
        <w:t>1.项目绩效目标</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根据勐海县搬迁安置办公室填报的《绩效目标申报表》，本项目总体目标为全面建成勐海库区勐往乡灰塘村委会野谷塘村小组人畜供水项目，具体如下：新建250m³蓄水池1座、沉淀池（过滤池）2座。配套工程：①建成20000m主供水管道；②建成4700m支供水管；③建成5210m入户供水管；④安装水龙头210个、闸阀210个、水表210个；⑤建成水表井、水槽210个；⑥破路面积及恢复1000㎡；⑦镀锌钢管套管500m；⑧修复5000m原供水管网。通过项目的建设改善野谷塘小组村民及牲畜的用水条件和饮水问题，为村民的生产生活提供基本保障。</w:t>
      </w:r>
    </w:p>
    <w:p>
      <w:pPr>
        <w:spacing w:line="360" w:lineRule="auto"/>
        <w:ind w:firstLine="640" w:firstLineChars="200"/>
        <w:outlineLvl w:val="2"/>
        <w:rPr>
          <w:rStyle w:val="12"/>
          <w:rFonts w:hint="default" w:hAnsi="Mongolian Baiti" w:cs="Mongolian Baiti"/>
          <w:highlight w:val="none"/>
        </w:rPr>
      </w:pPr>
      <w:r>
        <w:rPr>
          <w:rFonts w:hint="eastAsia" w:ascii="仿宋_GB2312" w:hAnsi="仿宋" w:eastAsia="仿宋_GB2312"/>
          <w:bCs/>
          <w:color w:val="000000"/>
          <w:sz w:val="32"/>
          <w:szCs w:val="32"/>
          <w:highlight w:val="none"/>
        </w:rPr>
        <w:t>2.项目绩效指标设置情况</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项目设定了绩效指标，但存在绩效指标设定的不完整的情况。根据批准实施资料以及实施情况，归纳绩效指标为：</w:t>
      </w:r>
      <w:bookmarkStart w:id="24" w:name="_Toc4995"/>
      <w:r>
        <w:rPr>
          <w:highlight w:val="none"/>
        </w:rPr>
        <w:drawing>
          <wp:inline distT="0" distB="0" distL="114300" distR="114300">
            <wp:extent cx="5272405" cy="5450205"/>
            <wp:effectExtent l="0" t="0" r="4445" b="762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5272405" cy="5450205"/>
                    </a:xfrm>
                    <a:prstGeom prst="rect">
                      <a:avLst/>
                    </a:prstGeom>
                    <a:noFill/>
                    <a:ln>
                      <a:noFill/>
                    </a:ln>
                  </pic:spPr>
                </pic:pic>
              </a:graphicData>
            </a:graphic>
          </wp:inline>
        </w:drawing>
      </w:r>
    </w:p>
    <w:p>
      <w:pPr>
        <w:pStyle w:val="3"/>
        <w:spacing w:before="0" w:after="0" w:line="360" w:lineRule="auto"/>
        <w:ind w:left="638" w:leftChars="304"/>
        <w:rPr>
          <w:rFonts w:ascii="黑体" w:hAnsi="黑体" w:eastAsia="黑体" w:cs="黑体"/>
          <w:b w:val="0"/>
          <w:bCs w:val="0"/>
          <w:color w:val="000000"/>
          <w:kern w:val="2"/>
          <w:sz w:val="32"/>
          <w:szCs w:val="32"/>
          <w:highlight w:val="none"/>
        </w:rPr>
      </w:pPr>
      <w:r>
        <w:rPr>
          <w:rFonts w:hint="eastAsia" w:ascii="黑体" w:hAnsi="黑体" w:eastAsia="黑体" w:cs="黑体"/>
          <w:b w:val="0"/>
          <w:bCs w:val="0"/>
          <w:color w:val="000000"/>
          <w:kern w:val="2"/>
          <w:sz w:val="32"/>
          <w:szCs w:val="32"/>
          <w:highlight w:val="none"/>
        </w:rPr>
        <w:t>二、绩效评价工作情况</w:t>
      </w:r>
      <w:bookmarkEnd w:id="24"/>
    </w:p>
    <w:p>
      <w:pPr>
        <w:pStyle w:val="4"/>
        <w:spacing w:before="0" w:after="0" w:line="360" w:lineRule="auto"/>
        <w:ind w:firstLine="643" w:firstLineChars="200"/>
        <w:rPr>
          <w:rFonts w:ascii="楷体_GB2312" w:eastAsia="楷体_GB2312" w:cs="Times New Roman"/>
          <w:color w:val="000000"/>
          <w:highlight w:val="none"/>
          <w:lang w:val="zh-CN"/>
        </w:rPr>
      </w:pPr>
      <w:bookmarkStart w:id="25" w:name="_Toc28142"/>
      <w:r>
        <w:rPr>
          <w:rFonts w:hint="eastAsia" w:ascii="楷体_GB2312" w:eastAsia="楷体_GB2312" w:cs="Times New Roman"/>
          <w:color w:val="000000"/>
          <w:highlight w:val="none"/>
        </w:rPr>
        <w:t>（一）绩效评价目的</w:t>
      </w:r>
      <w:bookmarkEnd w:id="25"/>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绩效评价从项目决策、过程、产出、效果及资料提供情况5个方面了解掌握勐海县搬迁安置办公室组织建设的景洪水电站勐海库区勐海县勐往乡灰塘村委会野谷塘人畜供水项目在资金使用、项目管理、实施完成、取得成效及制度建设等方面的情况；找出项目实施存在的问题，提出改进的意见和建议，促进相关单位及部门进一步完善项目决策程序、加强管理、强化监督、创新机制、保证项目资金使用管理的规范性、安全性和有效性；为指导预算编制，优化财政支出结构，提高公共服务水平提供决策依据。</w:t>
      </w:r>
    </w:p>
    <w:p>
      <w:pPr>
        <w:pStyle w:val="4"/>
        <w:spacing w:before="0" w:after="0" w:line="360" w:lineRule="auto"/>
        <w:ind w:left="630"/>
        <w:rPr>
          <w:rFonts w:ascii="楷体_GB2312" w:hAnsi="华文楷体" w:eastAsia="楷体_GB2312" w:cs="Times New Roman"/>
          <w:color w:val="000000"/>
          <w:highlight w:val="none"/>
        </w:rPr>
      </w:pPr>
      <w:bookmarkStart w:id="26" w:name="_Toc29227"/>
      <w:bookmarkStart w:id="27" w:name="_Toc21745"/>
      <w:r>
        <w:rPr>
          <w:rFonts w:hint="eastAsia" w:ascii="楷体_GB2312" w:hAnsi="华文楷体" w:eastAsia="楷体_GB2312" w:cs="Times New Roman"/>
          <w:color w:val="000000"/>
          <w:highlight w:val="none"/>
        </w:rPr>
        <w:t>（二）绩效评价设计过程</w:t>
      </w:r>
      <w:bookmarkEnd w:id="26"/>
      <w:bookmarkEnd w:id="27"/>
    </w:p>
    <w:p>
      <w:pPr>
        <w:spacing w:line="360" w:lineRule="auto"/>
        <w:ind w:firstLine="640" w:firstLineChars="200"/>
        <w:rPr>
          <w:rStyle w:val="12"/>
          <w:rFonts w:hint="default" w:hAnsi="Mongolian Baiti" w:cs="Mongolian Baiti"/>
          <w:highlight w:val="none"/>
          <w:lang w:val="zh-CN"/>
        </w:rPr>
      </w:pPr>
      <w:r>
        <w:rPr>
          <w:rStyle w:val="12"/>
          <w:rFonts w:hint="default" w:hAnsi="Mongolian Baiti" w:cs="Mongolian Baiti"/>
          <w:highlight w:val="none"/>
          <w:lang w:val="zh-CN"/>
        </w:rPr>
        <w:t>为了确保本次绩效评价按时、按质、按量完成，绩效评价小组将本次绩效评价分为前期准备、评价实施、评价报告三个阶段实施，具体如下：</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1.前期准备</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（1）根据评价项目确定评价组组成人员及项目负责人，学习有关财政支出绩效评价的法规文件。</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（2）到项目主管单位了解项目概况、进行项目评价前调查。根据了解的单位概况和收集到的主要资料，与项目承担单位沟通，制定项目绩效评价实施方案，评价指标体系及评分标准，并报县财政局批准。</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2.实施阶段</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（1）查阅、复核被评价单位报送的绩效评价资料，汇总、分析相关数据。</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（2）对项目进行</w:t>
      </w:r>
      <w:r>
        <w:rPr>
          <w:rStyle w:val="12"/>
          <w:rFonts w:hAnsi="Mongolian Baiti" w:cs="Mongolian Baiti"/>
          <w:highlight w:val="none"/>
        </w:rPr>
        <w:t>资料</w:t>
      </w:r>
      <w:r>
        <w:rPr>
          <w:rStyle w:val="12"/>
          <w:rFonts w:hint="default" w:hAnsi="Mongolian Baiti" w:cs="Mongolian Baiti"/>
          <w:highlight w:val="none"/>
        </w:rPr>
        <w:t>查验，发放调查问卷等，核实项目实际建设完成情况及取得的效果。</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（3）根据对项目资料及项目现场的核实，从项目决策、过程、产出、效果及资料提供情况5个方面进行评价分析，结合项目资料报送情况完成项目现场评价工作及绩效指标评分。</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3.报告撰写和提交</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（1）汇总、分析相关评价情况及数据，总结项目实施情况及效果，找出项目实施存在的问题，并提出相应的建议，形成绩效评价报告征求意见稿，提交被评价单位核实确认，并提交委托单位审核。</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（2）根据审核意见和回复意见，对报告进行修改完善，提交绩效评价正式报告。</w:t>
      </w:r>
    </w:p>
    <w:p>
      <w:pPr>
        <w:pStyle w:val="4"/>
        <w:spacing w:before="0" w:after="0" w:line="360" w:lineRule="auto"/>
        <w:ind w:firstLine="643" w:firstLineChars="200"/>
        <w:rPr>
          <w:rFonts w:ascii="楷体_GB2312" w:hAnsi="华文楷体" w:eastAsia="楷体_GB2312" w:cs="Times New Roman"/>
          <w:color w:val="000000"/>
          <w:highlight w:val="none"/>
        </w:rPr>
      </w:pPr>
      <w:bookmarkStart w:id="28" w:name="_Toc11973"/>
      <w:bookmarkStart w:id="29" w:name="_Toc31718"/>
      <w:r>
        <w:rPr>
          <w:rFonts w:hint="eastAsia" w:ascii="楷体_GB2312" w:hAnsi="华文楷体" w:eastAsia="楷体_GB2312" w:cs="Times New Roman"/>
          <w:color w:val="000000"/>
          <w:highlight w:val="none"/>
        </w:rPr>
        <w:t>（三）绩效评价原则、评价指标体系、绩效标准和评价方法</w:t>
      </w:r>
      <w:bookmarkEnd w:id="28"/>
      <w:bookmarkEnd w:id="29"/>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1.绩效评价原则</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绩效评价工作遵循科学公正、统筹兼顾、激励约束、公开透明的原则。</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2.评价指标体系</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（1）指标体系制定原则</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本次评价指标体系制定遵循：相关性原则、重要性原则、可比性原则、经济性原则、系统性原则。</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（2）评价指标体系</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项目的评价指标分为四级，满分100分。包括决策、过程、产出、效果以及资料报送考核指标5项一级指标，权重分别为:20%、30%、25%、20%、5%。在此基础上将其分为12项二级指标、23项三级指标、4</w:t>
      </w:r>
      <w:r>
        <w:rPr>
          <w:rStyle w:val="12"/>
          <w:rFonts w:hAnsi="Mongolian Baiti" w:cs="Mongolian Baiti"/>
          <w:highlight w:val="none"/>
        </w:rPr>
        <w:t>3</w:t>
      </w:r>
      <w:r>
        <w:rPr>
          <w:rStyle w:val="12"/>
          <w:rFonts w:hint="default" w:hAnsi="Mongolian Baiti" w:cs="Mongolian Baiti"/>
          <w:highlight w:val="none"/>
        </w:rPr>
        <w:t>项四级指标，对项目决策（项目立项、绩效目标、资金投入）、过程（资金管理、组织实施、绩效管理）、产出（产出数量、产出质量、产出时效、产出成本）、效果（项目效益）以及资料提供情况等方面进行评价。（详见《绩效评价指标及评分表》）</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3.绩效标准</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（1）计划标准</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以预先制定的目标、计划、预算、定额等作为评价的标准。</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（2）历史标准</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参照历史数据制定的评价标准，为体现绩效改进的原则，在可实现的条件下应当确定相对较高的评价标准。</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（3）行业标准</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参照国家公布的行业指标数据制定的评价标准。</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（4）财政部门和预算部门确认或认可的其他标准。</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4.评价方法</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绩效评价方法包括：成本效益分析法、比较法、因素分析法、最低成本法、公众评判法、标杆管理法、其他评价方法。</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项目评价过程中，通过了解被评价单位对景洪水电站勐海库区勐海县勐往乡灰塘村委会野谷塘人畜供水项目资金使用情况，采取定量与定性相结合的方式，评价本项目绩效情况。</w:t>
      </w:r>
    </w:p>
    <w:p>
      <w:pPr>
        <w:pStyle w:val="4"/>
        <w:spacing w:before="0" w:after="0" w:line="360" w:lineRule="auto"/>
        <w:ind w:firstLine="643" w:firstLineChars="200"/>
        <w:rPr>
          <w:rFonts w:ascii="仿宋_GB2312" w:hAnsi="方正楷体_GBK" w:eastAsia="仿宋_GB2312" w:cs="方正楷体_GBK"/>
          <w:highlight w:val="none"/>
          <w:lang w:val="zh-CN"/>
        </w:rPr>
      </w:pPr>
      <w:bookmarkStart w:id="30" w:name="_Toc32370"/>
      <w:bookmarkStart w:id="31" w:name="_Toc26769"/>
      <w:r>
        <w:rPr>
          <w:rFonts w:hint="eastAsia" w:ascii="楷体_GB2312" w:hAnsi="华文楷体" w:eastAsia="楷体_GB2312" w:cs="Times New Roman"/>
          <w:color w:val="000000"/>
          <w:highlight w:val="none"/>
        </w:rPr>
        <w:t>（四）证据收集方法</w:t>
      </w:r>
      <w:bookmarkEnd w:id="30"/>
      <w:bookmarkEnd w:id="31"/>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结合项目实际情况，采用收集资料、检查记录或文件、对项目单位进行查看会计资料及原始凭证、对受益对象进行访谈并发放调查问卷等证据收集方法。</w:t>
      </w:r>
    </w:p>
    <w:p>
      <w:pPr>
        <w:pStyle w:val="4"/>
        <w:spacing w:before="0" w:after="0" w:line="360" w:lineRule="auto"/>
        <w:ind w:firstLine="643" w:firstLineChars="200"/>
        <w:rPr>
          <w:rFonts w:ascii="仿宋_GB2312" w:hAnsi="方正楷体_GBK" w:eastAsia="仿宋_GB2312" w:cs="方正楷体_GBK"/>
          <w:highlight w:val="none"/>
          <w:lang w:val="zh-CN"/>
        </w:rPr>
      </w:pPr>
      <w:bookmarkStart w:id="32" w:name="_Toc23917"/>
      <w:bookmarkStart w:id="33" w:name="_Toc4129"/>
      <w:r>
        <w:rPr>
          <w:rFonts w:hint="eastAsia" w:ascii="楷体_GB2312" w:hAnsi="华文楷体" w:eastAsia="楷体_GB2312" w:cs="Times New Roman"/>
          <w:color w:val="000000"/>
          <w:highlight w:val="none"/>
        </w:rPr>
        <w:t>（五）绩效评价实施过程</w:t>
      </w:r>
      <w:bookmarkEnd w:id="32"/>
      <w:bookmarkEnd w:id="33"/>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按照绩效评价设计过程实施绩效评价，由勐海县财政局负责绩效评价的组织管理，云南信立会计师事务所有限公司负责绩效评价的实施工作，勐海县搬迁安置办公室有关人员配合完成本次绩效评价工作。</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通过分析被评价单位报送的绩效评价资料，结合现场抽查和发放调查问卷等方式，从项目决策、项目过程管理、项目产出、项目效果效益等方面找出项目实施存在的问题，并提出相应的建议，为相关部门进一步完善该项目决策与管理制度、改进项目管理工作提供参考。</w:t>
      </w:r>
    </w:p>
    <w:p>
      <w:pPr>
        <w:pStyle w:val="4"/>
        <w:spacing w:before="0" w:after="0" w:line="360" w:lineRule="auto"/>
        <w:ind w:firstLine="643" w:firstLineChars="200"/>
        <w:rPr>
          <w:rFonts w:ascii="仿宋_GB2312" w:hAnsi="方正楷体_GBK" w:eastAsia="仿宋_GB2312" w:cs="方正楷体_GBK"/>
          <w:highlight w:val="none"/>
          <w:lang w:val="zh-CN"/>
        </w:rPr>
      </w:pPr>
      <w:bookmarkStart w:id="34" w:name="_Toc1264"/>
      <w:bookmarkStart w:id="35" w:name="_Toc20573"/>
      <w:r>
        <w:rPr>
          <w:rFonts w:hint="eastAsia" w:ascii="楷体_GB2312" w:hAnsi="华文楷体" w:eastAsia="楷体_GB2312" w:cs="Times New Roman"/>
          <w:color w:val="000000"/>
          <w:highlight w:val="none"/>
        </w:rPr>
        <w:t>（六）本次绩效评价的局限性</w:t>
      </w:r>
      <w:bookmarkEnd w:id="34"/>
      <w:bookmarkEnd w:id="35"/>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受新冠疫情影响，无法对项目实际情况进行现场勘察，本次绩效评价</w:t>
      </w:r>
      <w:r>
        <w:rPr>
          <w:rStyle w:val="12"/>
          <w:rFonts w:hAnsi="Mongolian Baiti" w:cs="Mongolian Baiti"/>
          <w:highlight w:val="none"/>
        </w:rPr>
        <w:t>主要</w:t>
      </w:r>
      <w:r>
        <w:rPr>
          <w:rStyle w:val="12"/>
          <w:rFonts w:hint="default" w:hAnsi="Mongolian Baiti" w:cs="Mongolian Baiti"/>
          <w:highlight w:val="none"/>
        </w:rPr>
        <w:t>以建设单位提供的项目资料为依据进行绩效评价</w:t>
      </w:r>
      <w:r>
        <w:rPr>
          <w:rStyle w:val="12"/>
          <w:rFonts w:hAnsi="Mongolian Baiti" w:cs="Mongolian Baiti"/>
          <w:highlight w:val="none"/>
        </w:rPr>
        <w:t>；</w:t>
      </w:r>
      <w:r>
        <w:rPr>
          <w:rStyle w:val="12"/>
          <w:rFonts w:hint="default" w:hAnsi="Mongolian Baiti" w:cs="Mongolian Baiti"/>
          <w:highlight w:val="none"/>
        </w:rPr>
        <w:t>绩效评价过程中，采用了电话回访、询问项目人员等方式进行满意度调查，调查问卷收集数量</w:t>
      </w:r>
      <w:r>
        <w:rPr>
          <w:rStyle w:val="12"/>
          <w:rFonts w:hAnsi="Mongolian Baiti" w:cs="Mongolian Baiti"/>
          <w:highlight w:val="none"/>
        </w:rPr>
        <w:t>偏</w:t>
      </w:r>
      <w:r>
        <w:rPr>
          <w:rStyle w:val="12"/>
          <w:rFonts w:hint="default" w:hAnsi="Mongolian Baiti" w:cs="Mongolian Baiti"/>
          <w:highlight w:val="none"/>
        </w:rPr>
        <w:t>少。</w:t>
      </w:r>
    </w:p>
    <w:p>
      <w:pPr>
        <w:pStyle w:val="3"/>
        <w:spacing w:before="0" w:after="0" w:line="360" w:lineRule="auto"/>
        <w:ind w:firstLine="640" w:firstLineChars="200"/>
        <w:rPr>
          <w:rFonts w:ascii="黑体" w:hAnsi="黑体" w:eastAsia="黑体" w:cs="黑体"/>
          <w:b w:val="0"/>
          <w:bCs w:val="0"/>
          <w:sz w:val="32"/>
          <w:szCs w:val="32"/>
          <w:highlight w:val="none"/>
          <w:lang w:val="zh-CN"/>
        </w:rPr>
      </w:pPr>
      <w:bookmarkStart w:id="36" w:name="_Toc6164"/>
      <w:bookmarkStart w:id="37" w:name="_Toc2426"/>
      <w:r>
        <w:rPr>
          <w:rFonts w:hint="eastAsia" w:ascii="黑体" w:hAnsi="黑体" w:eastAsia="黑体" w:cs="黑体"/>
          <w:b w:val="0"/>
          <w:bCs w:val="0"/>
          <w:color w:val="000000"/>
          <w:kern w:val="2"/>
          <w:sz w:val="32"/>
          <w:szCs w:val="32"/>
          <w:highlight w:val="none"/>
        </w:rPr>
        <w:t>三、绩效分析及评价结论</w:t>
      </w:r>
      <w:bookmarkEnd w:id="36"/>
      <w:bookmarkEnd w:id="37"/>
    </w:p>
    <w:p>
      <w:pPr>
        <w:pStyle w:val="4"/>
        <w:spacing w:before="0" w:after="0" w:line="360" w:lineRule="auto"/>
        <w:ind w:firstLine="643" w:firstLineChars="200"/>
        <w:rPr>
          <w:rFonts w:ascii="仿宋_GB2312" w:hAnsi="方正楷体_GBK" w:eastAsia="仿宋_GB2312" w:cs="方正楷体_GBK"/>
          <w:highlight w:val="none"/>
          <w:lang w:val="zh-CN"/>
        </w:rPr>
      </w:pPr>
      <w:bookmarkStart w:id="38" w:name="_Toc9125"/>
      <w:bookmarkStart w:id="39" w:name="_Toc11728"/>
      <w:r>
        <w:rPr>
          <w:rFonts w:hint="eastAsia" w:ascii="楷体_GB2312" w:hAnsi="华文楷体" w:eastAsia="楷体_GB2312" w:cs="Times New Roman"/>
          <w:color w:val="000000"/>
          <w:highlight w:val="none"/>
        </w:rPr>
        <w:t>（一）绩效分析</w:t>
      </w:r>
      <w:bookmarkEnd w:id="38"/>
      <w:bookmarkEnd w:id="39"/>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1.决策情况分析</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项目决策情况包括项目立项、绩效目标和资金投入。</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（1）项目立项</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项目符合《国家发改委关于云南大中型水库库区和移民安置区基础设施建设和经济发展规划纲要的复函》(发改农经〔2008〕1358号)和《关于推进美丽乡村建设的若干意见》等相关文件精神，对加强勐往乡灰塘村委会野谷塘小组的基础设施建设，完善农村发展体制机制，建设村民幸福生活的美丽家园具有重要意义。</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同时，项目已取得西双版纳傣族自治州搬迁安置办公室《关于景洪水电站勐海库区勐往乡</w:t>
      </w:r>
      <w:r>
        <w:rPr>
          <w:rStyle w:val="12"/>
          <w:rFonts w:hint="default" w:hAnsi="Mongolian Baiti" w:cs="Mongolian Baiti"/>
          <w:szCs w:val="32"/>
          <w:highlight w:val="none"/>
        </w:rPr>
        <w:t>灰塘村委会野谷塘村小组人畜供水项目可行性研究报告</w:t>
      </w:r>
      <w:r>
        <w:rPr>
          <w:rStyle w:val="12"/>
          <w:rFonts w:hint="default" w:hAnsi="Mongolian Baiti" w:cs="Mongolian Baiti"/>
          <w:highlight w:val="none"/>
        </w:rPr>
        <w:t>的批复》（西搬复〔2020〕24号）、勐海县自然资源局《关于景洪水电站勐海库区勐往乡灰塘村委会野谷塘村小组人畜供水项目用地情况的复函》（海自然资便〔2021〕35号）、西双版纳傣族自治州生态环境局勐海分局《关于对“相关扶贫类项目”办理环境影响评价相关事宜的说明》（西环海函〔2021〕20号）等批复文件资料，建设内容清晰、资金来源明确，项目立项依据合理。</w:t>
      </w:r>
      <w:r>
        <w:rPr>
          <w:rStyle w:val="12"/>
          <w:rFonts w:hAnsi="Mongolian Baiti" w:cs="Mongolian Baiti"/>
          <w:highlight w:val="none"/>
        </w:rPr>
        <w:t>但经核实，项目尚未办理水土保持方案批复。</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（2）绩效目标</w:t>
      </w:r>
    </w:p>
    <w:p>
      <w:pPr>
        <w:spacing w:line="360" w:lineRule="auto"/>
        <w:ind w:firstLine="640" w:firstLineChars="200"/>
        <w:rPr>
          <w:highlight w:val="none"/>
        </w:rPr>
      </w:pPr>
      <w:r>
        <w:rPr>
          <w:rFonts w:hint="eastAsia" w:ascii="仿宋_GB2312" w:hAnsi="仿宋" w:eastAsia="仿宋_GB2312"/>
          <w:bCs/>
          <w:sz w:val="32"/>
          <w:szCs w:val="32"/>
          <w:highlight w:val="none"/>
        </w:rPr>
        <w:t>单位编制了《绩效目标申报表》，所设定的目标依据充分、符合客观实际，但存在指标设定不完整、不细化、不量化的</w:t>
      </w:r>
      <w:r>
        <w:rPr>
          <w:rStyle w:val="12"/>
          <w:rFonts w:hint="default" w:hAnsi="Mongolian Baiti" w:cs="Mongolian Baiti"/>
          <w:bCs/>
          <w:color w:val="000000"/>
          <w:highlight w:val="none"/>
        </w:rPr>
        <w:t>情况。</w:t>
      </w:r>
    </w:p>
    <w:p>
      <w:pPr>
        <w:spacing w:line="360" w:lineRule="auto"/>
        <w:ind w:firstLine="640" w:firstLineChars="200"/>
        <w:rPr>
          <w:rStyle w:val="12"/>
          <w:rFonts w:hint="default" w:hAnsi="Mongolian Baiti" w:cs="Mongolian Baiti"/>
          <w:bCs/>
          <w:color w:val="000000" w:themeColor="text1"/>
          <w:highlight w:val="none"/>
          <w14:textFill>
            <w14:solidFill>
              <w14:schemeClr w14:val="tx1"/>
            </w14:solidFill>
          </w14:textFill>
        </w:rPr>
      </w:pPr>
      <w:r>
        <w:rPr>
          <w:rStyle w:val="12"/>
          <w:rFonts w:hint="default" w:hAnsi="Mongolian Baiti" w:cs="Mongolian Baiti"/>
          <w:bCs/>
          <w:color w:val="000000" w:themeColor="text1"/>
          <w:highlight w:val="none"/>
          <w14:textFill>
            <w14:solidFill>
              <w14:schemeClr w14:val="tx1"/>
            </w14:solidFill>
          </w14:textFill>
        </w:rPr>
        <w:t>（3）资金投入</w:t>
      </w:r>
    </w:p>
    <w:p>
      <w:pPr>
        <w:spacing w:line="360" w:lineRule="auto"/>
        <w:ind w:firstLine="640" w:firstLineChars="200"/>
        <w:rPr>
          <w:rFonts w:ascii="仿宋_GB2312" w:hAnsi="仿宋" w:eastAsia="仿宋_GB2312"/>
          <w:bCs/>
          <w:color w:val="000000"/>
          <w:sz w:val="32"/>
          <w:szCs w:val="32"/>
          <w:highlight w:val="none"/>
        </w:rPr>
      </w:pPr>
      <w:r>
        <w:rPr>
          <w:rFonts w:hint="eastAsia" w:ascii="仿宋_GB2312" w:hAnsi="仿宋" w:eastAsia="仿宋_GB2312"/>
          <w:bCs/>
          <w:color w:val="000000"/>
          <w:sz w:val="32"/>
          <w:szCs w:val="32"/>
          <w:highlight w:val="none"/>
        </w:rPr>
        <w:t>根据西双版纳傣族自治州搬迁安置办公室《关于景洪水电站勐海库区勐往乡灰塘村委会野谷塘村小组人畜供水项目可行性研究报告的批复》（西搬复〔2020〕24号）文件，</w:t>
      </w:r>
      <w:r>
        <w:rPr>
          <w:rStyle w:val="12"/>
          <w:rFonts w:hint="default"/>
          <w:bCs/>
          <w:highlight w:val="none"/>
        </w:rPr>
        <w:t>项目批复总投资</w:t>
      </w:r>
      <w:r>
        <w:rPr>
          <w:rFonts w:hint="eastAsia" w:ascii="仿宋_GB2312" w:hAnsi="仿宋" w:eastAsia="仿宋_GB2312"/>
          <w:bCs/>
          <w:sz w:val="32"/>
          <w:szCs w:val="32"/>
          <w:highlight w:val="none"/>
        </w:rPr>
        <w:t>406.11万元</w:t>
      </w:r>
      <w:r>
        <w:rPr>
          <w:rFonts w:hint="eastAsia" w:ascii="仿宋_GB2312" w:hAnsi="仿宋" w:eastAsia="仿宋_GB2312"/>
          <w:bCs/>
          <w:color w:val="000000"/>
          <w:sz w:val="32"/>
          <w:szCs w:val="32"/>
          <w:highlight w:val="none"/>
        </w:rPr>
        <w:t>。</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2.过程情况分析</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项目过程包括资金管理、组织实施及绩效管理情况。</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（1）资金管理</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截止2021年12月31日，项目共到位资金406万元，实际支付资金364.32万元，其中：建安工程投资333.33万元、待摊投资30.59万元以及管理费用0.4</w:t>
      </w:r>
      <w:r>
        <w:rPr>
          <w:rStyle w:val="12"/>
          <w:rFonts w:hAnsi="Mongolian Baiti" w:cs="Mongolian Baiti"/>
          <w:highlight w:val="none"/>
        </w:rPr>
        <w:t>0</w:t>
      </w:r>
      <w:r>
        <w:rPr>
          <w:rStyle w:val="12"/>
          <w:rFonts w:hint="default" w:hAnsi="Mongolian Baiti" w:cs="Mongolian Baiti"/>
          <w:highlight w:val="none"/>
        </w:rPr>
        <w:t>万元。</w:t>
      </w:r>
    </w:p>
    <w:p>
      <w:pPr>
        <w:spacing w:line="360" w:lineRule="auto"/>
        <w:ind w:firstLine="640" w:firstLineChars="200"/>
        <w:rPr>
          <w:rStyle w:val="12"/>
          <w:rFonts w:hint="default"/>
          <w:bCs/>
          <w:highlight w:val="none"/>
        </w:rPr>
      </w:pPr>
      <w:r>
        <w:rPr>
          <w:rStyle w:val="12"/>
          <w:rFonts w:hint="default" w:hAnsi="Mongolian Baiti" w:cs="Mongolian Baiti"/>
          <w:highlight w:val="none"/>
        </w:rPr>
        <w:t>经进一步核实，项目建设管理过程中，勐海县搬迁安置办公室按照财政部印发的《大中型水库移民后期扶持基金项目资金管理办法》的通知以及制定的《勐海县搬迁安置办财务管理制度》、《勐海县搬迁安置办公室内部控制制度》等相关制度，</w:t>
      </w:r>
      <w:r>
        <w:rPr>
          <w:rStyle w:val="12"/>
          <w:rFonts w:hint="default"/>
          <w:bCs/>
          <w:highlight w:val="none"/>
        </w:rPr>
        <w:t>对项目资金进行核算管理和财务监督，项目资金能够按照相关制度进行财务核算和管理。</w:t>
      </w:r>
    </w:p>
    <w:p>
      <w:pPr>
        <w:spacing w:line="360" w:lineRule="auto"/>
        <w:ind w:firstLine="640" w:firstLineChars="200"/>
        <w:jc w:val="left"/>
        <w:rPr>
          <w:rStyle w:val="12"/>
          <w:rFonts w:hint="default"/>
          <w:bCs/>
          <w:highlight w:val="none"/>
        </w:rPr>
      </w:pPr>
      <w:r>
        <w:rPr>
          <w:rStyle w:val="12"/>
          <w:rFonts w:hint="default"/>
          <w:bCs/>
          <w:highlight w:val="none"/>
        </w:rPr>
        <w:t>经抽查，项目工程款支付使用由承包人按照资金支付程序提出申请，经监理单位和建设单位审核后，报请建设单位项目主要负责人、分管领导以及财务人员审批签章后支付，</w:t>
      </w:r>
      <w:r>
        <w:rPr>
          <w:rStyle w:val="12"/>
          <w:rFonts w:hint="default" w:hAnsi="Mongolian Baiti" w:cs="Mongolian Baiti"/>
          <w:highlight w:val="none"/>
        </w:rPr>
        <w:t>勐海县搬迁安置办公室</w:t>
      </w:r>
      <w:r>
        <w:rPr>
          <w:rStyle w:val="12"/>
          <w:rFonts w:hint="default"/>
          <w:bCs/>
          <w:highlight w:val="none"/>
        </w:rPr>
        <w:t>履行了相应职能，资金支付审批程序规范、</w:t>
      </w:r>
      <w:r>
        <w:rPr>
          <w:rStyle w:val="12"/>
          <w:rFonts w:hint="default" w:hAnsi="Mongolian Baiti" w:cs="Mongolian Baiti"/>
          <w:bCs/>
          <w:color w:val="000000"/>
          <w:highlight w:val="none"/>
        </w:rPr>
        <w:t>资金专款专用，不存在截留、挤占、挪用、虚列支出等情况。</w:t>
      </w:r>
    </w:p>
    <w:p>
      <w:pPr>
        <w:spacing w:line="360" w:lineRule="auto"/>
        <w:ind w:firstLine="640" w:firstLineChars="200"/>
        <w:jc w:val="left"/>
        <w:rPr>
          <w:rStyle w:val="12"/>
          <w:rFonts w:hint="default" w:hAnsi="Mongolian Baiti" w:cs="Mongolian Baiti"/>
          <w:bCs/>
          <w:color w:val="000000" w:themeColor="text1"/>
          <w:highlight w:val="none"/>
          <w14:textFill>
            <w14:solidFill>
              <w14:schemeClr w14:val="tx1"/>
            </w14:solidFill>
          </w14:textFill>
        </w:rPr>
      </w:pPr>
      <w:r>
        <w:rPr>
          <w:rStyle w:val="12"/>
          <w:rFonts w:hint="default" w:hAnsi="Mongolian Baiti" w:cs="Mongolian Baiti"/>
          <w:bCs/>
          <w:color w:val="000000" w:themeColor="text1"/>
          <w:highlight w:val="none"/>
          <w14:textFill>
            <w14:solidFill>
              <w14:schemeClr w14:val="tx1"/>
            </w14:solidFill>
          </w14:textFill>
        </w:rPr>
        <w:t>（2）组织实施</w:t>
      </w:r>
    </w:p>
    <w:p>
      <w:pPr>
        <w:spacing w:line="360" w:lineRule="auto"/>
        <w:ind w:firstLine="640" w:firstLineChars="200"/>
        <w:jc w:val="left"/>
        <w:rPr>
          <w:rStyle w:val="12"/>
          <w:rFonts w:hint="default" w:hAnsi="Mongolian Baiti" w:cs="Mongolian Baiti"/>
          <w:bCs/>
          <w:highlight w:val="none"/>
        </w:rPr>
      </w:pPr>
      <w:r>
        <w:rPr>
          <w:rStyle w:val="12"/>
          <w:rFonts w:hint="default" w:hAnsi="Mongolian Baiti" w:cs="Mongolian Baiti"/>
          <w:highlight w:val="none"/>
        </w:rPr>
        <w:t>本项目由勐海县搬迁安置办公室负责组织实施，配合做好项目的规划实施、工程设施的建设、工程的施工招标、施工监理、竣工验收、资金和物资使用、建设项目资金审计以及项目组织协调等工作。</w:t>
      </w:r>
      <w:r>
        <w:rPr>
          <w:rStyle w:val="12"/>
          <w:rFonts w:hint="default" w:hAnsi="Mongolian Baiti" w:cs="Mongolian Baiti"/>
          <w:bCs/>
          <w:highlight w:val="none"/>
        </w:rPr>
        <w:t>项目建设管理过程中，勐海县搬迁安置办公室根据《勐海县搬迁安置办公室项目管理办法》对项目的确定程序、建设管理、考核奖惩等方面进行规范管理。规范和加强了重点建设项目管理，提高了投资效益，确保了项目顺利实施，促进了全镇经济社会发展。</w:t>
      </w:r>
      <w:r>
        <w:rPr>
          <w:rStyle w:val="12"/>
          <w:rFonts w:hAnsi="Mongolian Baiti" w:cs="Mongolian Baiti"/>
          <w:bCs/>
          <w:highlight w:val="none"/>
        </w:rPr>
        <w:t>同时，</w:t>
      </w:r>
      <w:r>
        <w:rPr>
          <w:rStyle w:val="12"/>
          <w:rFonts w:hint="default" w:hAnsi="Mongolian Baiti" w:cs="Mongolian Baiti"/>
          <w:bCs/>
          <w:highlight w:val="none"/>
        </w:rPr>
        <w:t>项目基本按照规定对项目批复、合同以及成果资料等进行分类、汇总归档，档案资料基本完整。</w:t>
      </w:r>
      <w:r>
        <w:rPr>
          <w:rStyle w:val="12"/>
          <w:rFonts w:hAnsi="Mongolian Baiti" w:cs="Mongolian Baiti"/>
          <w:bCs/>
          <w:highlight w:val="none"/>
        </w:rPr>
        <w:t>但经核实，项目未按</w:t>
      </w:r>
      <w:r>
        <w:rPr>
          <w:rFonts w:ascii="仿宋_GB2312" w:hAnsi="Courier New" w:eastAsia="仿宋_GB2312"/>
          <w:kern w:val="0"/>
          <w:sz w:val="32"/>
          <w:szCs w:val="32"/>
          <w:highlight w:val="none"/>
        </w:rPr>
        <w:t>《云南省农民工工资支付保障规定》</w:t>
      </w:r>
      <w:r>
        <w:rPr>
          <w:rFonts w:hint="eastAsia" w:ascii="仿宋_GB2312" w:hAnsi="Courier New" w:eastAsia="仿宋_GB2312"/>
          <w:kern w:val="0"/>
          <w:sz w:val="32"/>
          <w:szCs w:val="32"/>
          <w:highlight w:val="none"/>
        </w:rPr>
        <w:t>的要求</w:t>
      </w:r>
      <w:r>
        <w:rPr>
          <w:rFonts w:ascii="仿宋_GB2312" w:hAnsi="Courier New" w:eastAsia="仿宋_GB2312"/>
          <w:kern w:val="0"/>
          <w:sz w:val="32"/>
          <w:szCs w:val="32"/>
          <w:highlight w:val="none"/>
        </w:rPr>
        <w:t>向县人社局缴纳农民工工资保证金。</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（3）绩效管理</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勐海县搬迁安置办公室</w:t>
      </w:r>
      <w:r>
        <w:rPr>
          <w:rStyle w:val="12"/>
          <w:rFonts w:hint="default"/>
          <w:bCs/>
          <w:highlight w:val="none"/>
        </w:rPr>
        <w:t>为加强</w:t>
      </w:r>
      <w:r>
        <w:rPr>
          <w:rStyle w:val="12"/>
          <w:rFonts w:hint="default" w:hAnsi="Mongolian Baiti" w:cs="Mongolian Baiti"/>
          <w:highlight w:val="none"/>
        </w:rPr>
        <w:t>景洪水电站勐海库区勐往乡灰塘村委会野谷塘村小组人畜供水项目</w:t>
      </w:r>
      <w:r>
        <w:rPr>
          <w:rStyle w:val="12"/>
          <w:rFonts w:hint="default"/>
          <w:bCs/>
          <w:highlight w:val="none"/>
        </w:rPr>
        <w:t>预算绩效运行监控管理，提高预算执行效率和资金使用效益，根据勐海县财政局中共勐海县委组织部 勐海县审计局《关于印发勐海县全面实施预算绩效管理工作推进方案》的通知、《勐海县预算绩效运行监控管理暂行办法》等有关规定，对项目进行绩效跟踪管理。但未制定</w:t>
      </w:r>
      <w:r>
        <w:rPr>
          <w:rStyle w:val="12"/>
          <w:rFonts w:hint="default" w:hAnsi="Mongolian Baiti" w:cs="Mongolian Baiti"/>
          <w:highlight w:val="none"/>
        </w:rPr>
        <w:t>本项目绩效运行监控管理制度</w:t>
      </w:r>
      <w:r>
        <w:rPr>
          <w:rStyle w:val="12"/>
          <w:rFonts w:hint="default"/>
          <w:bCs/>
          <w:highlight w:val="none"/>
        </w:rPr>
        <w:t>，未撰写自评报告。</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根据提供的《项目支出绩效自评表》，项目自评得分93.00分。</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3.产出情况分析</w:t>
      </w:r>
    </w:p>
    <w:p>
      <w:pPr>
        <w:spacing w:line="360" w:lineRule="auto"/>
        <w:ind w:firstLine="640" w:firstLineChars="200"/>
        <w:rPr>
          <w:rStyle w:val="12"/>
          <w:rFonts w:hint="default" w:hAnsi="Mongolian Baiti" w:cs="Mongolian Baiti"/>
          <w:bCs/>
          <w:color w:val="000000" w:themeColor="text1"/>
          <w:highlight w:val="none"/>
          <w14:textFill>
            <w14:solidFill>
              <w14:schemeClr w14:val="tx1"/>
            </w14:solidFill>
          </w14:textFill>
        </w:rPr>
      </w:pPr>
      <w:r>
        <w:rPr>
          <w:rStyle w:val="12"/>
          <w:rFonts w:hint="default" w:hAnsi="Mongolian Baiti" w:cs="Mongolian Baiti"/>
          <w:bCs/>
          <w:color w:val="000000" w:themeColor="text1"/>
          <w:highlight w:val="none"/>
          <w14:textFill>
            <w14:solidFill>
              <w14:schemeClr w14:val="tx1"/>
            </w14:solidFill>
          </w14:textFill>
        </w:rPr>
        <w:t>项目产出包括产出数量、产出质量、产出时效、产出成本情况。</w:t>
      </w:r>
    </w:p>
    <w:p>
      <w:pPr>
        <w:spacing w:line="360" w:lineRule="auto"/>
        <w:ind w:firstLine="640" w:firstLineChars="200"/>
        <w:rPr>
          <w:rStyle w:val="12"/>
          <w:rFonts w:hint="default" w:hAnsi="Mongolian Baiti" w:cs="Mongolian Baiti"/>
          <w:bCs/>
          <w:color w:val="000000" w:themeColor="text1"/>
          <w:highlight w:val="none"/>
          <w14:textFill>
            <w14:solidFill>
              <w14:schemeClr w14:val="tx1"/>
            </w14:solidFill>
          </w14:textFill>
        </w:rPr>
      </w:pPr>
      <w:r>
        <w:rPr>
          <w:rStyle w:val="12"/>
          <w:rFonts w:hint="default" w:hAnsi="Mongolian Baiti" w:cs="Mongolian Baiti"/>
          <w:bCs/>
          <w:color w:val="000000" w:themeColor="text1"/>
          <w:highlight w:val="none"/>
          <w14:textFill>
            <w14:solidFill>
              <w14:schemeClr w14:val="tx1"/>
            </w14:solidFill>
          </w14:textFill>
        </w:rPr>
        <w:t>（1）产出数量</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根据提供的批复资料及验收等资料，项目计划完成内容为：新建250m³蓄水池1座、沉淀池（过滤池）2座。配套工程：①建成20000m主供水管道；②建成4700m支供水管；③建成5210m入户供水管；④安装水龙头210个、闸阀210个、水表210个；⑤建成水表井、水槽210个；⑥破路面积及恢复1000㎡；⑦镀锌钢管套管500m；⑧修复5000m原供水管网。截止2021年11月15日，已在计划工期内完成建设内容并进行了竣工验收。</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项目实行合同制管理，勐海县搬迁安置办公室按照规定与服务单位（施工单位、设计单位、监理单位、测绘单位等）签订了服务合同，相关单位基本按照合同约定开展服务工作。</w:t>
      </w:r>
    </w:p>
    <w:p>
      <w:pPr>
        <w:spacing w:line="360" w:lineRule="auto"/>
        <w:ind w:firstLine="640" w:firstLineChars="200"/>
        <w:rPr>
          <w:rFonts w:ascii="仿宋_GB2312" w:hAnsi="仿宋" w:eastAsia="仿宋_GB2312"/>
          <w:bCs/>
          <w:color w:val="000000"/>
          <w:sz w:val="32"/>
          <w:szCs w:val="32"/>
          <w:highlight w:val="none"/>
        </w:rPr>
      </w:pPr>
      <w:r>
        <w:rPr>
          <w:rFonts w:ascii="仿宋_GB2312" w:hAnsi="仿宋" w:eastAsia="仿宋_GB2312"/>
          <w:bCs/>
          <w:color w:val="000000"/>
          <w:sz w:val="32"/>
          <w:szCs w:val="32"/>
          <w:highlight w:val="none"/>
        </w:rPr>
        <w:t>（2）产出质量</w:t>
      </w:r>
    </w:p>
    <w:p>
      <w:pPr>
        <w:spacing w:line="360" w:lineRule="auto"/>
        <w:ind w:firstLine="640" w:firstLineChars="200"/>
        <w:rPr>
          <w:rStyle w:val="12"/>
          <w:rFonts w:hint="default" w:hAnsi="Mongolian Baiti" w:cs="Mongolian Baiti"/>
          <w:highlight w:val="none"/>
        </w:rPr>
      </w:pPr>
      <w:r>
        <w:rPr>
          <w:rFonts w:hint="eastAsia" w:ascii="仿宋_GB2312" w:hAnsi="仿宋" w:eastAsia="仿宋_GB2312"/>
          <w:bCs/>
          <w:sz w:val="32"/>
          <w:szCs w:val="32"/>
          <w:highlight w:val="none"/>
        </w:rPr>
        <w:t>根据提供竣工验收报告，</w:t>
      </w:r>
      <w:r>
        <w:rPr>
          <w:rStyle w:val="12"/>
          <w:rFonts w:hint="default" w:hAnsi="Mongolian Baiti" w:cs="Mongolian Baiti"/>
          <w:highlight w:val="none"/>
        </w:rPr>
        <w:t>勐海县搬迁安置办公室</w:t>
      </w:r>
      <w:r>
        <w:rPr>
          <w:rFonts w:hint="eastAsia" w:ascii="仿宋_GB2312" w:hAnsi="仿宋" w:eastAsia="仿宋_GB2312"/>
          <w:bCs/>
          <w:sz w:val="32"/>
          <w:szCs w:val="32"/>
          <w:highlight w:val="none"/>
        </w:rPr>
        <w:t>于2021年11月15日组织监理单位、施工单位、设计单位对</w:t>
      </w:r>
      <w:r>
        <w:rPr>
          <w:rStyle w:val="12"/>
          <w:rFonts w:hint="default" w:hAnsi="Mongolian Baiti" w:cs="Mongolian Baiti"/>
          <w:highlight w:val="none"/>
        </w:rPr>
        <w:t>景洪水电站勐海库区勐往乡灰塘村委会野谷塘村小组人畜供水项目进行</w:t>
      </w:r>
      <w:r>
        <w:rPr>
          <w:rFonts w:hint="eastAsia" w:ascii="仿宋_GB2312" w:hAnsi="仿宋" w:eastAsia="仿宋_GB2312"/>
          <w:bCs/>
          <w:sz w:val="32"/>
          <w:szCs w:val="32"/>
          <w:highlight w:val="none"/>
        </w:rPr>
        <w:t>竣工验收，验收结论为：合格。同时，</w:t>
      </w:r>
      <w:r>
        <w:rPr>
          <w:rStyle w:val="12"/>
          <w:rFonts w:hint="default" w:hAnsi="Mongolian Baiti" w:cs="Mongolian Baiti"/>
          <w:highlight w:val="none"/>
        </w:rPr>
        <w:t>经</w:t>
      </w:r>
      <w:r>
        <w:rPr>
          <w:rStyle w:val="12"/>
          <w:rFonts w:hAnsi="Mongolian Baiti" w:cs="Mongolian Baiti"/>
          <w:highlight w:val="none"/>
        </w:rPr>
        <w:t>对</w:t>
      </w:r>
      <w:r>
        <w:rPr>
          <w:rStyle w:val="12"/>
          <w:rFonts w:hint="default" w:hAnsi="Mongolian Baiti" w:cs="Mongolian Baiti"/>
          <w:highlight w:val="none"/>
        </w:rPr>
        <w:t>野谷塘村</w:t>
      </w:r>
      <w:r>
        <w:rPr>
          <w:rStyle w:val="12"/>
          <w:rFonts w:hAnsi="Mongolian Baiti" w:cs="Mongolian Baiti"/>
          <w:highlight w:val="none"/>
        </w:rPr>
        <w:t>村民进行</w:t>
      </w:r>
      <w:r>
        <w:rPr>
          <w:rStyle w:val="12"/>
          <w:rFonts w:hint="default" w:hAnsi="Mongolian Baiti" w:cs="Mongolian Baiti"/>
          <w:highlight w:val="none"/>
        </w:rPr>
        <w:t>电话访谈反映，项目的</w:t>
      </w:r>
      <w:r>
        <w:rPr>
          <w:rStyle w:val="12"/>
          <w:rFonts w:hAnsi="Mongolian Baiti" w:cs="Mongolian Baiti"/>
          <w:highlight w:val="none"/>
        </w:rPr>
        <w:t>建设大大改善了当地用水矛盾，</w:t>
      </w:r>
      <w:r>
        <w:rPr>
          <w:rStyle w:val="12"/>
          <w:rFonts w:hint="default" w:hAnsi="Mongolian Baiti" w:cs="Mongolian Baiti"/>
          <w:highlight w:val="none"/>
        </w:rPr>
        <w:t>后续使用过程中未出现质量问题，</w:t>
      </w:r>
      <w:r>
        <w:rPr>
          <w:rStyle w:val="12"/>
          <w:rFonts w:hAnsi="Mongolian Baiti" w:cs="Mongolian Baiti"/>
          <w:highlight w:val="none"/>
        </w:rPr>
        <w:t>村民反映良好。</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（3）产出时效</w:t>
      </w:r>
    </w:p>
    <w:p>
      <w:pPr>
        <w:spacing w:line="360" w:lineRule="auto"/>
        <w:ind w:firstLine="640" w:firstLineChars="200"/>
        <w:rPr>
          <w:rFonts w:ascii="仿宋_GB2312" w:hAnsi="仿宋" w:eastAsia="仿宋_GB2312"/>
          <w:bCs/>
          <w:sz w:val="32"/>
          <w:szCs w:val="32"/>
          <w:highlight w:val="none"/>
        </w:rPr>
      </w:pPr>
      <w:r>
        <w:rPr>
          <w:rFonts w:hint="eastAsia" w:ascii="仿宋_GB2312" w:hAnsi="仿宋" w:eastAsia="仿宋_GB2312"/>
          <w:bCs/>
          <w:sz w:val="32"/>
          <w:szCs w:val="32"/>
          <w:highlight w:val="none"/>
        </w:rPr>
        <w:t>①项目（工程）开工及时情况</w:t>
      </w:r>
    </w:p>
    <w:p>
      <w:pPr>
        <w:spacing w:line="360" w:lineRule="auto"/>
        <w:ind w:firstLine="640" w:firstLineChars="200"/>
        <w:rPr>
          <w:rFonts w:ascii="仿宋_GB2312" w:hAnsi="仿宋" w:eastAsia="仿宋_GB2312"/>
          <w:bCs/>
          <w:sz w:val="32"/>
          <w:szCs w:val="32"/>
          <w:highlight w:val="none"/>
        </w:rPr>
      </w:pPr>
      <w:r>
        <w:rPr>
          <w:rFonts w:hint="eastAsia" w:ascii="仿宋_GB2312" w:hAnsi="仿宋" w:eastAsia="仿宋_GB2312"/>
          <w:bCs/>
          <w:sz w:val="32"/>
          <w:szCs w:val="32"/>
          <w:highlight w:val="none"/>
        </w:rPr>
        <w:t>根据提供的项目合同和开工报告，项目计划开工日期为2021年6月18日，实际于2021年6月18日开工，项目在计划工期内开工。</w:t>
      </w:r>
    </w:p>
    <w:p>
      <w:pPr>
        <w:spacing w:line="360" w:lineRule="auto"/>
        <w:ind w:firstLine="640" w:firstLineChars="200"/>
        <w:rPr>
          <w:rFonts w:ascii="仿宋_GB2312" w:hAnsi="仿宋" w:eastAsia="仿宋_GB2312"/>
          <w:bCs/>
          <w:sz w:val="32"/>
          <w:szCs w:val="32"/>
          <w:highlight w:val="none"/>
        </w:rPr>
      </w:pPr>
      <w:r>
        <w:rPr>
          <w:rFonts w:hint="eastAsia" w:ascii="仿宋_GB2312" w:hAnsi="仿宋" w:eastAsia="仿宋_GB2312"/>
          <w:bCs/>
          <w:sz w:val="32"/>
          <w:szCs w:val="32"/>
          <w:highlight w:val="none"/>
        </w:rPr>
        <w:t>②项目（工程）完工及时情况</w:t>
      </w:r>
    </w:p>
    <w:p>
      <w:pPr>
        <w:spacing w:line="360" w:lineRule="auto"/>
        <w:ind w:firstLine="640" w:firstLineChars="200"/>
        <w:rPr>
          <w:rFonts w:ascii="仿宋_GB2312" w:hAnsi="仿宋" w:eastAsia="仿宋_GB2312"/>
          <w:bCs/>
          <w:sz w:val="32"/>
          <w:szCs w:val="32"/>
          <w:highlight w:val="none"/>
        </w:rPr>
      </w:pPr>
      <w:r>
        <w:rPr>
          <w:rFonts w:hint="eastAsia" w:ascii="仿宋_GB2312" w:hAnsi="仿宋" w:eastAsia="仿宋_GB2312"/>
          <w:bCs/>
          <w:sz w:val="32"/>
          <w:szCs w:val="32"/>
          <w:highlight w:val="none"/>
        </w:rPr>
        <w:t>根据提供的完工及验收资料，项目计划2021年11月15日完工，实际于2021年11月25日完工并完成竣工验收，项目已在计划工期内完成建设。</w:t>
      </w:r>
    </w:p>
    <w:p>
      <w:pPr>
        <w:spacing w:line="360" w:lineRule="auto"/>
        <w:ind w:firstLine="640" w:firstLineChars="200"/>
        <w:rPr>
          <w:rFonts w:ascii="仿宋_GB2312" w:hAnsi="仿宋" w:eastAsia="仿宋_GB2312"/>
          <w:bCs/>
          <w:sz w:val="32"/>
          <w:szCs w:val="32"/>
          <w:highlight w:val="none"/>
        </w:rPr>
      </w:pPr>
      <w:r>
        <w:rPr>
          <w:rFonts w:hint="eastAsia" w:ascii="仿宋_GB2312" w:hAnsi="仿宋" w:eastAsia="仿宋_GB2312"/>
          <w:bCs/>
          <w:sz w:val="32"/>
          <w:szCs w:val="32"/>
          <w:highlight w:val="none"/>
        </w:rPr>
        <w:t>③竣工决算财务报表编制及时性</w:t>
      </w:r>
    </w:p>
    <w:p>
      <w:pPr>
        <w:spacing w:line="360" w:lineRule="auto"/>
        <w:ind w:firstLine="640" w:firstLineChars="200"/>
        <w:rPr>
          <w:rFonts w:ascii="仿宋_GB2312" w:hAnsi="仿宋" w:eastAsia="仿宋_GB2312"/>
          <w:bCs/>
          <w:sz w:val="32"/>
          <w:szCs w:val="32"/>
          <w:highlight w:val="none"/>
        </w:rPr>
      </w:pPr>
      <w:r>
        <w:rPr>
          <w:rFonts w:hint="eastAsia" w:ascii="仿宋_GB2312" w:hAnsi="仿宋" w:eastAsia="仿宋_GB2312"/>
          <w:bCs/>
          <w:sz w:val="32"/>
          <w:szCs w:val="32"/>
          <w:highlight w:val="none"/>
        </w:rPr>
        <w:t>根据提供的项目资料，单位未及时对项目进行竣工决算审计，未及时编制《基本建设项目竣工财务决算报表》。</w:t>
      </w:r>
    </w:p>
    <w:p>
      <w:pPr>
        <w:spacing w:line="360" w:lineRule="auto"/>
        <w:ind w:firstLine="640" w:firstLineChars="200"/>
        <w:rPr>
          <w:rFonts w:ascii="仿宋_GB2312" w:hAnsi="仿宋" w:eastAsia="仿宋_GB2312"/>
          <w:bCs/>
          <w:sz w:val="32"/>
          <w:szCs w:val="32"/>
          <w:highlight w:val="none"/>
        </w:rPr>
      </w:pPr>
      <w:r>
        <w:rPr>
          <w:rFonts w:ascii="仿宋_GB2312" w:hAnsi="仿宋" w:eastAsia="仿宋_GB2312"/>
          <w:bCs/>
          <w:sz w:val="32"/>
          <w:szCs w:val="32"/>
          <w:highlight w:val="none"/>
        </w:rPr>
        <w:t>（4）产出成本</w:t>
      </w:r>
    </w:p>
    <w:p>
      <w:pPr>
        <w:spacing w:line="360" w:lineRule="auto"/>
        <w:ind w:firstLine="640" w:firstLineChars="200"/>
        <w:rPr>
          <w:rFonts w:ascii="仿宋_GB2312" w:hAnsi="仿宋" w:eastAsia="仿宋_GB2312"/>
          <w:bCs/>
          <w:sz w:val="32"/>
          <w:szCs w:val="32"/>
          <w:highlight w:val="none"/>
        </w:rPr>
      </w:pPr>
      <w:r>
        <w:rPr>
          <w:rFonts w:hint="eastAsia" w:ascii="仿宋_GB2312" w:hAnsi="仿宋" w:eastAsia="仿宋_GB2312"/>
          <w:bCs/>
          <w:sz w:val="32"/>
          <w:szCs w:val="32"/>
          <w:highlight w:val="none"/>
        </w:rPr>
        <w:t>根据可行性研究报告批复、合同及景洪市和信建筑工程咨询有限责任公司提供的《竣工决算审核报告》等资料，本项目实际投资金额未超批复投资。</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4.效果情况分析</w:t>
      </w:r>
    </w:p>
    <w:p>
      <w:pPr>
        <w:spacing w:line="360" w:lineRule="auto"/>
        <w:ind w:firstLine="640" w:firstLineChars="200"/>
        <w:rPr>
          <w:rStyle w:val="12"/>
          <w:rFonts w:hint="default" w:hAnsi="Mongolian Baiti" w:cs="Mongolian Baiti"/>
          <w:bCs/>
          <w:color w:val="000000"/>
          <w:highlight w:val="none"/>
        </w:rPr>
      </w:pPr>
      <w:r>
        <w:rPr>
          <w:rStyle w:val="12"/>
          <w:rFonts w:hint="default" w:hAnsi="Mongolian Baiti" w:cs="Mongolian Baiti"/>
          <w:bCs/>
          <w:color w:val="000000"/>
          <w:highlight w:val="none"/>
        </w:rPr>
        <w:t>本项目效果包括经济效益、社会效益、生态效益、可持续性影响和受益对象满意度5个方面。</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（1）实施效益</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①经济效益</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本项目的实施，将解决本地区群众饮水问题，改变原有供水设施严重不足的局面，改善投资环境，吸引外资，对促进当地社会、经济及各项事业的发展将起到积极作用，进一步的加快社会主义新农村的建设步伐，为全面建设小康社会奠定了坚实的基础，具有巨大的社会效益。</w:t>
      </w:r>
    </w:p>
    <w:p>
      <w:pPr>
        <w:spacing w:line="360" w:lineRule="auto"/>
        <w:ind w:firstLine="630" w:firstLineChars="300"/>
        <w:rPr>
          <w:rStyle w:val="12"/>
          <w:rFonts w:hint="default" w:hAnsi="Mongolian Baiti" w:cs="Mongolian Baiti"/>
          <w:highlight w:val="none"/>
        </w:rPr>
      </w:pPr>
      <w:r>
        <w:rPr>
          <w:rFonts w:hint="eastAsia" w:hAnsi="仿宋"/>
          <w:bCs/>
          <w:color w:val="000000"/>
          <w:szCs w:val="32"/>
          <w:highlight w:val="none"/>
        </w:rPr>
        <w:t>②</w:t>
      </w:r>
      <w:r>
        <w:rPr>
          <w:rStyle w:val="12"/>
          <w:rFonts w:hint="default" w:hAnsi="Mongolian Baiti" w:cs="Mongolian Baiti"/>
          <w:highlight w:val="none"/>
        </w:rPr>
        <w:t>社会效益</w:t>
      </w:r>
    </w:p>
    <w:p>
      <w:pPr>
        <w:widowControl/>
        <w:ind w:firstLine="640" w:firstLineChars="200"/>
        <w:jc w:val="left"/>
        <w:rPr>
          <w:rStyle w:val="12"/>
          <w:rFonts w:hint="default" w:hAnsi="Mongolian Baiti" w:cs="Mongolian Baiti"/>
          <w:highlight w:val="none"/>
        </w:rPr>
      </w:pPr>
      <w:r>
        <w:rPr>
          <w:rStyle w:val="12"/>
          <w:rFonts w:hint="default" w:hAnsi="Mongolian Baiti" w:cs="Mongolian Baiti"/>
          <w:highlight w:val="none"/>
        </w:rPr>
        <w:t>该工程项目全面规划实施完成后，可以改善和解决野谷塘小组居民及牲畜的用水条件、饮水问题。同时提高了群众生产、生活水平，保障了群众的身体健康，提高人民群众的生产积极性，有助于野谷塘小组居民尽快脱贫致富，对农村社会环境的稳定、精神文明建设和社会安定团结起到促进和推动作用。</w:t>
      </w:r>
    </w:p>
    <w:p>
      <w:pPr>
        <w:spacing w:line="360" w:lineRule="auto"/>
        <w:ind w:firstLine="640" w:firstLineChars="200"/>
        <w:rPr>
          <w:rStyle w:val="12"/>
          <w:rFonts w:hint="default" w:hAnsi="Mongolian Baiti" w:cs="Mongolian Baiti"/>
          <w:bCs/>
          <w:color w:val="000000" w:themeColor="text1"/>
          <w:highlight w:val="none"/>
          <w14:textFill>
            <w14:solidFill>
              <w14:schemeClr w14:val="tx1"/>
            </w14:solidFill>
          </w14:textFill>
        </w:rPr>
      </w:pPr>
      <w:r>
        <w:rPr>
          <w:rFonts w:hint="eastAsia" w:ascii="仿宋_GB2312" w:hAnsi="仿宋" w:eastAsia="仿宋_GB2312"/>
          <w:bCs/>
          <w:color w:val="000000"/>
          <w:sz w:val="32"/>
          <w:szCs w:val="32"/>
          <w:highlight w:val="none"/>
        </w:rPr>
        <w:t>③生态效益</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通过公共环境的治理和改造，大大改善了项目区移民群众的生活环境，提高了移民群众的生活质量，在此基础上使得移民群众有精力、有时间、有劳力来发展种植业、养殖业以及其他产业。在发展各种农业经济的过程中通过规模化、科学化种植，可以改善当地环境，对项目区生态环境治理极为有利。</w:t>
      </w:r>
    </w:p>
    <w:p>
      <w:pPr>
        <w:spacing w:line="360" w:lineRule="auto"/>
        <w:ind w:firstLine="640" w:firstLineChars="200"/>
        <w:rPr>
          <w:rStyle w:val="12"/>
          <w:rFonts w:hint="default" w:hAnsi="Mongolian Baiti" w:cs="Mongolian Baiti"/>
          <w:highlight w:val="none"/>
        </w:rPr>
      </w:pPr>
      <w:r>
        <w:rPr>
          <w:rStyle w:val="12"/>
          <w:rFonts w:hint="default" w:ascii="仿宋" w:hAnsi="仿宋" w:eastAsia="仿宋" w:cs="Mongolian Baiti"/>
          <w:highlight w:val="none"/>
        </w:rPr>
        <w:t>④</w:t>
      </w:r>
      <w:r>
        <w:rPr>
          <w:rStyle w:val="12"/>
          <w:rFonts w:hint="default" w:hAnsi="Mongolian Baiti" w:cs="Mongolian Baiti"/>
          <w:highlight w:val="none"/>
        </w:rPr>
        <w:t>可持续性影响</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根据勐海县搬迁安置办公室提供的项目资料，景洪水电站勐海库区勐往乡灰塘村委会野谷塘村小组人畜供水项目完工后已移交至勐往乡人民政府管理，双方于2022年5月26日签订了《工程项目建设移交书》。根据“谁拥有、谁受益、谁管理”的原则，自签订移交书之日起，项目由勐往乡人民政府所有及管护，负责所接收设施的运行、管理和维护工作。</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（2）受益对象满意度</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评价组采用问卷调查对直接受益对象的满意度进行了调查，共发放调查问卷30份，收回有效调查问卷30份。根据调查问卷及访谈结果分析，对项目实施“非常满意”的22份、“满意”的6份、“一般”的1份、“不满意”的1份。经统计项目受益对象综合满意度为93.33%。</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5.资料提供</w:t>
      </w:r>
    </w:p>
    <w:p>
      <w:pPr>
        <w:spacing w:line="360" w:lineRule="auto"/>
        <w:ind w:firstLine="640" w:firstLineChars="200"/>
        <w:rPr>
          <w:rStyle w:val="12"/>
          <w:rFonts w:hint="default" w:hAnsi="Mongolian Baiti" w:cs="Mongolian Baiti"/>
          <w:color w:val="FF0000"/>
          <w:highlight w:val="none"/>
        </w:rPr>
      </w:pPr>
      <w:r>
        <w:rPr>
          <w:rStyle w:val="12"/>
          <w:rFonts w:hint="default" w:hAnsi="Mongolian Baiti" w:cs="Mongolian Baiti"/>
          <w:highlight w:val="none"/>
        </w:rPr>
        <w:t>在</w:t>
      </w:r>
      <w:r>
        <w:rPr>
          <w:rStyle w:val="12"/>
          <w:rFonts w:hAnsi="Mongolian Baiti" w:cs="Mongolian Baiti"/>
          <w:highlight w:val="none"/>
        </w:rPr>
        <w:t>绩效</w:t>
      </w:r>
      <w:r>
        <w:rPr>
          <w:rStyle w:val="12"/>
          <w:rFonts w:hint="default" w:hAnsi="Mongolian Baiti" w:cs="Mongolian Baiti"/>
          <w:highlight w:val="none"/>
        </w:rPr>
        <w:t>评价过程中，勐海县搬迁安置办公室根据评价组要求提供了批复文件、可研报告、原始凭证资料、相关合同资料及成果等项目资料，资料提供基本完整，但</w:t>
      </w:r>
      <w:r>
        <w:rPr>
          <w:rStyle w:val="12"/>
          <w:rFonts w:hAnsi="Mongolian Baiti" w:cs="Mongolian Baiti"/>
          <w:highlight w:val="none"/>
        </w:rPr>
        <w:t>部分资料</w:t>
      </w:r>
      <w:r>
        <w:rPr>
          <w:rStyle w:val="12"/>
          <w:rFonts w:hint="default" w:hAnsi="Mongolian Baiti" w:cs="Mongolian Baiti"/>
          <w:highlight w:val="none"/>
        </w:rPr>
        <w:t>未在规定时间内提供。</w:t>
      </w:r>
    </w:p>
    <w:p>
      <w:pPr>
        <w:pStyle w:val="4"/>
        <w:spacing w:before="0" w:after="0" w:line="360" w:lineRule="auto"/>
        <w:ind w:firstLine="643" w:firstLineChars="200"/>
        <w:rPr>
          <w:rFonts w:ascii="楷体_GB2312" w:hAnsi="华文楷体" w:eastAsia="楷体_GB2312" w:cs="Times New Roman"/>
          <w:color w:val="000000"/>
          <w:highlight w:val="none"/>
          <w:lang w:val="zh-CN"/>
        </w:rPr>
      </w:pPr>
      <w:bookmarkStart w:id="40" w:name="_Toc11220"/>
      <w:bookmarkStart w:id="41" w:name="_Toc31380"/>
      <w:r>
        <w:rPr>
          <w:rFonts w:hint="eastAsia" w:ascii="楷体_GB2312" w:hAnsi="华文楷体" w:eastAsia="楷体_GB2312" w:cs="Times New Roman"/>
          <w:color w:val="000000"/>
          <w:highlight w:val="none"/>
        </w:rPr>
        <w:t>（二）评价结论</w:t>
      </w:r>
      <w:bookmarkEnd w:id="40"/>
      <w:bookmarkEnd w:id="41"/>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1.评分结果</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依据项目绩效评价计分方法，项目满分100.00分，经评价组评价，项目综合得分</w:t>
      </w:r>
      <w:r>
        <w:rPr>
          <w:rStyle w:val="12"/>
          <w:rFonts w:hAnsi="Mongolian Baiti" w:cs="Mongolian Baiti"/>
          <w:highlight w:val="none"/>
        </w:rPr>
        <w:t>8</w:t>
      </w:r>
      <w:r>
        <w:rPr>
          <w:rStyle w:val="12"/>
          <w:rFonts w:hint="default" w:hAnsi="Mongolian Baiti" w:cs="Mongolian Baiti"/>
          <w:highlight w:val="none"/>
        </w:rPr>
        <w:t>9</w:t>
      </w:r>
      <w:r>
        <w:rPr>
          <w:rStyle w:val="12"/>
          <w:rFonts w:hAnsi="Mongolian Baiti" w:cs="Mongolian Baiti"/>
          <w:highlight w:val="none"/>
        </w:rPr>
        <w:t>.18</w:t>
      </w:r>
      <w:r>
        <w:rPr>
          <w:rStyle w:val="12"/>
          <w:rFonts w:hint="default" w:hAnsi="Mongolian Baiti" w:cs="Mongolian Baiti"/>
          <w:highlight w:val="none"/>
        </w:rPr>
        <w:t>分，评价等级为“</w:t>
      </w:r>
      <w:r>
        <w:rPr>
          <w:rStyle w:val="12"/>
          <w:rFonts w:hAnsi="Mongolian Baiti" w:cs="Mongolian Baiti"/>
          <w:highlight w:val="none"/>
        </w:rPr>
        <w:t>良</w:t>
      </w:r>
      <w:r>
        <w:rPr>
          <w:rStyle w:val="12"/>
          <w:rFonts w:hint="default" w:hAnsi="Mongolian Baiti" w:cs="Mongolian Baiti"/>
          <w:highlight w:val="none"/>
        </w:rPr>
        <w:t>”。一级指标得分情况详见下表：</w:t>
      </w:r>
    </w:p>
    <w:p>
      <w:pPr>
        <w:spacing w:line="360" w:lineRule="auto"/>
        <w:rPr>
          <w:rStyle w:val="12"/>
          <w:rFonts w:hint="default" w:hAnsi="Mongolian Baiti" w:cs="Mongolian Baiti"/>
          <w:highlight w:val="none"/>
        </w:rPr>
      </w:pPr>
      <w:r>
        <w:rPr>
          <w:highlight w:val="none"/>
        </w:rPr>
        <w:drawing>
          <wp:inline distT="0" distB="0" distL="0" distR="0">
            <wp:extent cx="5274310" cy="168021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1680651"/>
                    </a:xfrm>
                    <a:prstGeom prst="rect">
                      <a:avLst/>
                    </a:prstGeom>
                    <a:noFill/>
                    <a:ln>
                      <a:noFill/>
                    </a:ln>
                  </pic:spPr>
                </pic:pic>
              </a:graphicData>
            </a:graphic>
          </wp:inline>
        </w:drawing>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2.综合评价结论</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项目建设符合国家、政府既定的发展规划和目标要求，符合《关于推进美丽乡村建设的若干意见》的文件精神，以及“西双版纳州2021年大中型水库移民后期扶持年度计划”。单位已按照规定进行了项目绩效目标申报，管理过程中基本能够按照相关文件及管理制度的要求组织项目实施（按期开工、完工以及验收等），按财经法规及资金预算要求管理、使用资金，履行了相应的项目管理及财务监管职责，项目管理较规范。但仍然存在项目管理未建立跟踪监控制度、未撰写自评报告、部分绩效指标设立不完整的情况。</w:t>
      </w:r>
    </w:p>
    <w:p>
      <w:pPr>
        <w:spacing w:line="360" w:lineRule="auto"/>
        <w:ind w:firstLine="640" w:firstLineChars="200"/>
        <w:jc w:val="left"/>
        <w:rPr>
          <w:rStyle w:val="12"/>
          <w:rFonts w:hint="default" w:hAnsi="Mongolian Baiti" w:cs="Mongolian Baiti"/>
          <w:highlight w:val="none"/>
        </w:rPr>
      </w:pPr>
      <w:r>
        <w:rPr>
          <w:rStyle w:val="12"/>
          <w:rFonts w:hint="default" w:hAnsi="Mongolian Baiti" w:cs="Mongolian Baiti"/>
          <w:highlight w:val="none"/>
        </w:rPr>
        <w:t>3.绩效目标实现情况</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综上评价，勐海县搬迁安置办公室景洪水电站勐海库区勐海县勐往乡灰塘村委会野谷塘人畜供水项目制定绩效目标22项，其中：已达标/已完成目标20项；未达标/未达标2项，具体评价情况如下表所示：</w:t>
      </w:r>
    </w:p>
    <w:p>
      <w:pPr>
        <w:pStyle w:val="2"/>
        <w:rPr>
          <w:highlight w:val="none"/>
        </w:rPr>
      </w:pPr>
      <w:r>
        <w:rPr>
          <w:highlight w:val="none"/>
        </w:rPr>
        <w:drawing>
          <wp:inline distT="0" distB="0" distL="114300" distR="114300">
            <wp:extent cx="5269230" cy="5276850"/>
            <wp:effectExtent l="0" t="0" r="762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269230" cy="5276850"/>
                    </a:xfrm>
                    <a:prstGeom prst="rect">
                      <a:avLst/>
                    </a:prstGeom>
                    <a:noFill/>
                    <a:ln>
                      <a:noFill/>
                    </a:ln>
                  </pic:spPr>
                </pic:pic>
              </a:graphicData>
            </a:graphic>
          </wp:inline>
        </w:drawing>
      </w:r>
    </w:p>
    <w:p>
      <w:pPr>
        <w:pStyle w:val="3"/>
        <w:spacing w:before="0" w:after="0" w:line="360" w:lineRule="auto"/>
        <w:ind w:firstLine="640" w:firstLineChars="200"/>
        <w:rPr>
          <w:rFonts w:ascii="黑体" w:hAnsi="黑体" w:eastAsia="黑体" w:cs="黑体"/>
          <w:b w:val="0"/>
          <w:bCs w:val="0"/>
          <w:color w:val="000000"/>
          <w:kern w:val="2"/>
          <w:sz w:val="32"/>
          <w:szCs w:val="32"/>
          <w:highlight w:val="none"/>
        </w:rPr>
      </w:pPr>
      <w:bookmarkStart w:id="42" w:name="_Toc15104"/>
      <w:bookmarkStart w:id="43" w:name="_Toc14353"/>
      <w:r>
        <w:rPr>
          <w:rFonts w:hint="eastAsia" w:ascii="黑体" w:hAnsi="黑体" w:eastAsia="黑体" w:cs="黑体"/>
          <w:b w:val="0"/>
          <w:bCs w:val="0"/>
          <w:color w:val="000000"/>
          <w:kern w:val="2"/>
          <w:sz w:val="32"/>
          <w:szCs w:val="32"/>
          <w:highlight w:val="none"/>
        </w:rPr>
        <w:t>四、主要的经验及做法</w:t>
      </w:r>
      <w:bookmarkEnd w:id="42"/>
      <w:bookmarkEnd w:id="43"/>
    </w:p>
    <w:p>
      <w:pPr>
        <w:spacing w:line="360" w:lineRule="auto"/>
        <w:ind w:firstLine="660"/>
        <w:rPr>
          <w:rStyle w:val="12"/>
          <w:rFonts w:hint="default"/>
          <w:bCs/>
          <w:highlight w:val="none"/>
        </w:rPr>
      </w:pPr>
      <w:bookmarkStart w:id="44" w:name="_Toc27439"/>
      <w:bookmarkStart w:id="45" w:name="_Toc22950"/>
      <w:r>
        <w:rPr>
          <w:rStyle w:val="12"/>
          <w:rFonts w:hint="default"/>
          <w:bCs/>
          <w:highlight w:val="none"/>
        </w:rPr>
        <w:t>项目资金的支付经过了层层审核与把关，确保了项目资金的专款专用。</w:t>
      </w:r>
    </w:p>
    <w:p>
      <w:pPr>
        <w:pStyle w:val="3"/>
        <w:spacing w:before="0" w:after="0" w:line="360" w:lineRule="auto"/>
        <w:ind w:firstLine="640" w:firstLineChars="200"/>
        <w:rPr>
          <w:rFonts w:ascii="仿宋_GB2312" w:hAnsi="方正黑体_GBK" w:eastAsia="仿宋_GB2312" w:cs="方正黑体_GBK"/>
          <w:color w:val="000000" w:themeColor="text1"/>
          <w:sz w:val="32"/>
          <w:szCs w:val="32"/>
          <w:highlight w:val="none"/>
          <w:lang w:val="zh-CN"/>
          <w14:textFill>
            <w14:solidFill>
              <w14:schemeClr w14:val="tx1"/>
            </w14:solidFill>
          </w14:textFill>
        </w:rPr>
      </w:pPr>
      <w:r>
        <w:rPr>
          <w:rFonts w:hint="eastAsia" w:ascii="黑体" w:hAnsi="黑体" w:eastAsia="黑体"/>
          <w:b w:val="0"/>
          <w:color w:val="000000"/>
          <w:sz w:val="32"/>
          <w:szCs w:val="32"/>
          <w:highlight w:val="none"/>
        </w:rPr>
        <w:t>五、存在的问题和建议</w:t>
      </w:r>
      <w:bookmarkEnd w:id="44"/>
      <w:bookmarkEnd w:id="45"/>
    </w:p>
    <w:p>
      <w:pPr>
        <w:pStyle w:val="4"/>
        <w:spacing w:before="0" w:after="0" w:line="360" w:lineRule="auto"/>
        <w:ind w:firstLine="643" w:firstLineChars="200"/>
        <w:rPr>
          <w:rFonts w:ascii="仿宋_GB2312" w:hAnsi="方正楷体_GBK" w:eastAsia="楷体_GB2312" w:cs="方正楷体_GBK"/>
          <w:color w:val="000000" w:themeColor="text1"/>
          <w:highlight w:val="none"/>
          <w:lang w:val="zh-CN"/>
          <w14:textFill>
            <w14:solidFill>
              <w14:schemeClr w14:val="tx1"/>
            </w14:solidFill>
          </w14:textFill>
        </w:rPr>
      </w:pPr>
      <w:bookmarkStart w:id="46" w:name="_Toc19013"/>
      <w:bookmarkStart w:id="47" w:name="_Toc23998"/>
      <w:r>
        <w:rPr>
          <w:rFonts w:hint="eastAsia" w:ascii="楷体_GB2312" w:eastAsia="楷体_GB2312" w:cs="Times New Roman"/>
          <w:color w:val="000000"/>
          <w:highlight w:val="none"/>
        </w:rPr>
        <w:t>（一）存在的问题</w:t>
      </w:r>
      <w:bookmarkEnd w:id="46"/>
      <w:bookmarkEnd w:id="47"/>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1.项目绩效管理工作不到位。</w:t>
      </w:r>
    </w:p>
    <w:p>
      <w:pPr>
        <w:spacing w:line="360" w:lineRule="auto"/>
        <w:ind w:firstLine="640" w:firstLineChars="200"/>
        <w:outlineLvl w:val="1"/>
        <w:rPr>
          <w:rStyle w:val="12"/>
          <w:rFonts w:hint="default" w:hAnsi="Mongolian Baiti" w:cs="Mongolian Baiti"/>
          <w:highlight w:val="none"/>
        </w:rPr>
      </w:pPr>
      <w:r>
        <w:rPr>
          <w:rStyle w:val="12"/>
          <w:bCs/>
          <w:highlight w:val="none"/>
        </w:rPr>
        <w:t>①</w:t>
      </w:r>
      <w:r>
        <w:rPr>
          <w:rStyle w:val="12"/>
          <w:rFonts w:hint="default"/>
          <w:bCs/>
          <w:highlight w:val="none"/>
        </w:rPr>
        <w:t>项目绩效目标指标设定</w:t>
      </w:r>
      <w:r>
        <w:rPr>
          <w:rStyle w:val="12"/>
          <w:rFonts w:hint="default" w:hAnsi="Mongolian Baiti" w:cs="Mongolian Baiti"/>
          <w:highlight w:val="none"/>
        </w:rPr>
        <w:t>绩效目标设定</w:t>
      </w:r>
      <w:r>
        <w:rPr>
          <w:rStyle w:val="12"/>
          <w:rFonts w:hAnsi="Mongolian Baiti" w:cs="Mongolian Baiti"/>
          <w:highlight w:val="none"/>
        </w:rPr>
        <w:t>过于</w:t>
      </w:r>
      <w:r>
        <w:rPr>
          <w:rStyle w:val="12"/>
          <w:rFonts w:hint="default" w:hAnsi="Mongolian Baiti" w:cs="Mongolian Baiti"/>
          <w:highlight w:val="none"/>
        </w:rPr>
        <w:t>笼统，</w:t>
      </w:r>
      <w:r>
        <w:rPr>
          <w:rStyle w:val="12"/>
          <w:rFonts w:hint="default"/>
          <w:bCs/>
          <w:highlight w:val="none"/>
        </w:rPr>
        <w:t>不完整</w:t>
      </w:r>
      <w:r>
        <w:rPr>
          <w:rStyle w:val="12"/>
          <w:bCs/>
          <w:highlight w:val="none"/>
        </w:rPr>
        <w:t>。如：</w:t>
      </w:r>
      <w:r>
        <w:rPr>
          <w:rStyle w:val="12"/>
          <w:rFonts w:hint="default" w:hAnsi="Mongolian Baiti" w:cs="Mongolian Baiti"/>
          <w:highlight w:val="none"/>
        </w:rPr>
        <w:t>未设定“经济效益”、“生态效益”、“可持续影响”</w:t>
      </w:r>
      <w:r>
        <w:rPr>
          <w:rStyle w:val="12"/>
          <w:rFonts w:hAnsi="Mongolian Baiti" w:cs="Mongolian Baiti"/>
          <w:highlight w:val="none"/>
        </w:rPr>
        <w:t>等</w:t>
      </w:r>
      <w:r>
        <w:rPr>
          <w:rStyle w:val="12"/>
          <w:rFonts w:hint="default" w:hAnsi="Mongolian Baiti" w:cs="Mongolian Baiti"/>
          <w:highlight w:val="none"/>
        </w:rPr>
        <w:t>指标，</w:t>
      </w:r>
      <w:r>
        <w:rPr>
          <w:rStyle w:val="12"/>
          <w:rFonts w:hAnsi="Mongolian Baiti" w:cs="Mongolian Baiti"/>
          <w:highlight w:val="none"/>
        </w:rPr>
        <w:t>不利于项目整体的绩效评价；</w:t>
      </w:r>
    </w:p>
    <w:p>
      <w:pPr>
        <w:spacing w:line="360" w:lineRule="auto"/>
        <w:ind w:firstLine="640" w:firstLineChars="200"/>
        <w:outlineLvl w:val="1"/>
        <w:rPr>
          <w:rStyle w:val="12"/>
          <w:rFonts w:hint="default"/>
          <w:bCs/>
          <w:highlight w:val="none"/>
        </w:rPr>
      </w:pPr>
      <w:r>
        <w:rPr>
          <w:rStyle w:val="12"/>
          <w:rFonts w:hAnsi="Mongolian Baiti" w:cs="Mongolian Baiti"/>
          <w:highlight w:val="none"/>
        </w:rPr>
        <w:t>②</w:t>
      </w:r>
      <w:r>
        <w:rPr>
          <w:rStyle w:val="12"/>
          <w:rFonts w:hint="default" w:hAnsi="Mongolian Baiti" w:cs="Mongolian Baiti"/>
          <w:highlight w:val="none"/>
        </w:rPr>
        <w:t>绩效目标设定</w:t>
      </w:r>
      <w:r>
        <w:rPr>
          <w:rStyle w:val="12"/>
          <w:rFonts w:hint="default"/>
          <w:bCs/>
          <w:highlight w:val="none"/>
        </w:rPr>
        <w:t>不细化、不量化</w:t>
      </w:r>
      <w:r>
        <w:rPr>
          <w:rStyle w:val="12"/>
          <w:bCs/>
          <w:highlight w:val="none"/>
        </w:rPr>
        <w:t>。如：“产出时效”的指标值为“=100%”，</w:t>
      </w:r>
      <w:r>
        <w:rPr>
          <w:rStyle w:val="12"/>
          <w:rFonts w:hint="default"/>
          <w:bCs/>
          <w:highlight w:val="none"/>
        </w:rPr>
        <w:t>未具体明确考核的事项，</w:t>
      </w:r>
      <w:r>
        <w:rPr>
          <w:rStyle w:val="12"/>
          <w:bCs/>
          <w:highlight w:val="none"/>
        </w:rPr>
        <w:t>不利于项目绩效管理以及预期目标完成情况的对比。</w:t>
      </w:r>
    </w:p>
    <w:p>
      <w:pPr>
        <w:spacing w:line="360" w:lineRule="auto"/>
        <w:ind w:firstLine="640" w:firstLineChars="200"/>
        <w:outlineLvl w:val="1"/>
        <w:rPr>
          <w:rStyle w:val="12"/>
          <w:rFonts w:hint="default" w:hAnsi="Mongolian Baiti" w:cs="Mongolian Baiti"/>
          <w:highlight w:val="none"/>
        </w:rPr>
      </w:pPr>
      <w:r>
        <w:rPr>
          <w:rStyle w:val="12"/>
          <w:bCs/>
          <w:highlight w:val="none"/>
        </w:rPr>
        <w:t>③项目未按照勐海县财政局关于印发《勐海县预算绩效运行监控管理暂行办法》（海财会监绩字〔2021〕31号）通知的要求，</w:t>
      </w:r>
      <w:r>
        <w:rPr>
          <w:rStyle w:val="12"/>
          <w:rFonts w:hint="default"/>
          <w:bCs/>
          <w:highlight w:val="none"/>
        </w:rPr>
        <w:t>制定绩效运行监控管理制度、定期填报绩效监控情况表</w:t>
      </w:r>
      <w:r>
        <w:rPr>
          <w:rStyle w:val="12"/>
          <w:bCs/>
          <w:highlight w:val="none"/>
        </w:rPr>
        <w:t>，不利于对项目后续绩效情况进行跟踪管理</w:t>
      </w:r>
      <w:r>
        <w:rPr>
          <w:rStyle w:val="12"/>
          <w:rFonts w:hint="default"/>
          <w:bCs/>
          <w:highlight w:val="none"/>
        </w:rPr>
        <w:t>；</w:t>
      </w:r>
      <w:r>
        <w:rPr>
          <w:rStyle w:val="12"/>
          <w:rFonts w:hint="default" w:hAnsi="Mongolian Baiti" w:cs="Mongolian Baiti"/>
          <w:highlight w:val="none"/>
        </w:rPr>
        <w:t>未撰写绩效自评报告，绩效管理工作开展不到位。</w:t>
      </w:r>
    </w:p>
    <w:p>
      <w:pPr>
        <w:spacing w:line="360" w:lineRule="auto"/>
        <w:ind w:firstLine="640" w:firstLineChars="200"/>
        <w:rPr>
          <w:rStyle w:val="12"/>
          <w:rFonts w:hint="default" w:hAnsi="Mongolian Baiti" w:cs="Mongolian Baiti"/>
          <w:highlight w:val="none"/>
        </w:rPr>
      </w:pPr>
      <w:r>
        <w:rPr>
          <w:rStyle w:val="12"/>
          <w:rFonts w:hint="default" w:hAnsi="Mongolian Baiti" w:cs="Mongolian Baiti"/>
          <w:highlight w:val="none"/>
        </w:rPr>
        <w:t>2.项目未按规定时间进行工程</w:t>
      </w:r>
      <w:r>
        <w:rPr>
          <w:rStyle w:val="12"/>
          <w:rFonts w:hAnsi="Mongolian Baiti" w:cs="Mongolian Baiti"/>
          <w:highlight w:val="none"/>
        </w:rPr>
        <w:t>决算</w:t>
      </w:r>
      <w:r>
        <w:rPr>
          <w:rStyle w:val="12"/>
          <w:rFonts w:hint="default" w:hAnsi="Mongolian Baiti" w:cs="Mongolian Baiti"/>
          <w:highlight w:val="none"/>
        </w:rPr>
        <w:t>审计以及开展竣工财务决算报表的编制工作</w:t>
      </w:r>
    </w:p>
    <w:p>
      <w:pPr>
        <w:spacing w:line="360" w:lineRule="auto"/>
        <w:ind w:firstLine="640" w:firstLineChars="200"/>
        <w:rPr>
          <w:rStyle w:val="12"/>
          <w:rFonts w:hint="default" w:hAnsi="Mongolian Baiti" w:cs="Mongolian Baiti"/>
          <w:color w:val="FF0000"/>
          <w:highlight w:val="none"/>
        </w:rPr>
      </w:pPr>
      <w:r>
        <w:rPr>
          <w:rStyle w:val="12"/>
          <w:rFonts w:hint="default" w:hAnsi="Mongolian Baiti" w:cs="Mongolian Baiti"/>
          <w:highlight w:val="none"/>
        </w:rPr>
        <w:t>经</w:t>
      </w:r>
      <w:r>
        <w:rPr>
          <w:rStyle w:val="12"/>
          <w:rFonts w:hAnsi="Mongolian Baiti" w:cs="Mongolian Baiti"/>
          <w:highlight w:val="none"/>
        </w:rPr>
        <w:t>审计发现</w:t>
      </w:r>
      <w:r>
        <w:rPr>
          <w:rStyle w:val="12"/>
          <w:rFonts w:hint="default" w:hAnsi="Mongolian Baiti" w:cs="Mongolian Baiti"/>
          <w:highlight w:val="none"/>
        </w:rPr>
        <w:t>，景洪水电站勐海库区勐海县勐往乡灰塘村委会野谷塘人畜供水项目尚未按照《基本建设项目竣工财务决算管理暂行办法》（财建〔2016〕503号）的规定及时开展工程</w:t>
      </w:r>
      <w:r>
        <w:rPr>
          <w:rStyle w:val="12"/>
          <w:rFonts w:hAnsi="Mongolian Baiti" w:cs="Mongolian Baiti"/>
          <w:highlight w:val="none"/>
        </w:rPr>
        <w:t>决算</w:t>
      </w:r>
      <w:r>
        <w:rPr>
          <w:rStyle w:val="12"/>
          <w:rFonts w:hint="default" w:hAnsi="Mongolian Baiti" w:cs="Mongolian Baiti"/>
          <w:highlight w:val="none"/>
        </w:rPr>
        <w:t>审计以及项目竣工财务决算报表编制工作，不利于项目成本的最终认定。</w:t>
      </w:r>
    </w:p>
    <w:p>
      <w:pPr>
        <w:spacing w:line="360" w:lineRule="auto"/>
        <w:ind w:firstLine="640" w:firstLineChars="200"/>
        <w:rPr>
          <w:rFonts w:hint="eastAsia" w:ascii="仿宋_GB2312" w:eastAsia="仿宋_GB2312"/>
          <w:bCs/>
          <w:kern w:val="0"/>
          <w:sz w:val="32"/>
          <w:szCs w:val="32"/>
          <w:highlight w:val="none"/>
        </w:rPr>
      </w:pPr>
      <w:r>
        <w:rPr>
          <w:rFonts w:hint="eastAsia" w:ascii="仿宋_GB2312" w:eastAsia="仿宋_GB2312"/>
          <w:bCs/>
          <w:kern w:val="0"/>
          <w:sz w:val="32"/>
          <w:szCs w:val="32"/>
          <w:highlight w:val="none"/>
        </w:rPr>
        <w:t>3.项目建设程序不完善。</w:t>
      </w:r>
    </w:p>
    <w:p>
      <w:pPr>
        <w:spacing w:line="360" w:lineRule="auto"/>
        <w:ind w:firstLine="640" w:firstLineChars="200"/>
        <w:rPr>
          <w:rFonts w:ascii="仿宋_GB2312" w:eastAsia="仿宋_GB2312"/>
          <w:bCs/>
          <w:kern w:val="0"/>
          <w:sz w:val="32"/>
          <w:szCs w:val="32"/>
          <w:highlight w:val="none"/>
        </w:rPr>
      </w:pPr>
      <w:r>
        <w:rPr>
          <w:rFonts w:hint="eastAsia" w:ascii="仿宋_GB2312" w:eastAsia="仿宋_GB2312"/>
          <w:bCs/>
          <w:kern w:val="0"/>
          <w:sz w:val="32"/>
          <w:szCs w:val="32"/>
          <w:highlight w:val="none"/>
        </w:rPr>
        <w:t>（1）尚未办理水土保持审批程序。</w:t>
      </w:r>
    </w:p>
    <w:p>
      <w:pPr>
        <w:spacing w:line="360" w:lineRule="auto"/>
        <w:ind w:firstLine="640" w:firstLineChars="200"/>
        <w:rPr>
          <w:rFonts w:ascii="仿宋_GB2312" w:eastAsia="仿宋_GB2312"/>
          <w:bCs/>
          <w:kern w:val="0"/>
          <w:sz w:val="32"/>
          <w:szCs w:val="32"/>
          <w:highlight w:val="none"/>
        </w:rPr>
      </w:pPr>
      <w:r>
        <w:rPr>
          <w:rFonts w:hint="eastAsia" w:ascii="仿宋_GB2312" w:eastAsia="仿宋_GB2312"/>
          <w:bCs/>
          <w:kern w:val="0"/>
          <w:sz w:val="32"/>
          <w:szCs w:val="32"/>
          <w:highlight w:val="none"/>
        </w:rPr>
        <w:t>根据</w:t>
      </w:r>
      <w:r>
        <w:rPr>
          <w:rStyle w:val="12"/>
          <w:rFonts w:hint="default" w:hAnsi="Mongolian Baiti" w:cs="Mongolian Baiti"/>
          <w:highlight w:val="none"/>
        </w:rPr>
        <w:t>勐海县搬迁安置办公室</w:t>
      </w:r>
      <w:r>
        <w:rPr>
          <w:rFonts w:hint="eastAsia" w:ascii="仿宋_GB2312" w:eastAsia="仿宋_GB2312"/>
          <w:bCs/>
          <w:kern w:val="0"/>
          <w:sz w:val="32"/>
          <w:szCs w:val="32"/>
          <w:highlight w:val="none"/>
        </w:rPr>
        <w:t>提供的资料，经核实，</w:t>
      </w:r>
      <w:r>
        <w:rPr>
          <w:rStyle w:val="12"/>
          <w:rFonts w:hint="default" w:hAnsi="Mongolian Baiti" w:cs="Mongolian Baiti"/>
          <w:highlight w:val="none"/>
        </w:rPr>
        <w:t>景洪水电站勐海库区勐海县勐往乡灰塘村委会野谷塘人畜供水项目</w:t>
      </w:r>
      <w:r>
        <w:rPr>
          <w:rFonts w:hint="eastAsia" w:ascii="仿宋_GB2312" w:eastAsia="仿宋_GB2312"/>
          <w:bCs/>
          <w:kern w:val="0"/>
          <w:sz w:val="32"/>
          <w:szCs w:val="32"/>
          <w:highlight w:val="none"/>
        </w:rPr>
        <w:t>尚未办理水土保持方案审批手续，未取得水土方案批准，</w:t>
      </w:r>
    </w:p>
    <w:p>
      <w:pPr>
        <w:spacing w:line="360" w:lineRule="auto"/>
        <w:rPr>
          <w:rFonts w:ascii="仿宋_GB2312" w:eastAsia="仿宋_GB2312"/>
          <w:bCs/>
          <w:kern w:val="0"/>
          <w:sz w:val="32"/>
          <w:szCs w:val="32"/>
          <w:highlight w:val="none"/>
        </w:rPr>
      </w:pPr>
      <w:r>
        <w:rPr>
          <w:rFonts w:hint="eastAsia" w:ascii="仿宋_GB2312" w:eastAsia="仿宋_GB2312"/>
          <w:bCs/>
          <w:kern w:val="0"/>
          <w:sz w:val="32"/>
          <w:szCs w:val="32"/>
          <w:highlight w:val="none"/>
        </w:rPr>
        <w:t>单位项目建设程序不完善。</w:t>
      </w:r>
    </w:p>
    <w:p>
      <w:pPr>
        <w:pStyle w:val="16"/>
        <w:snapToGrid w:val="0"/>
        <w:spacing w:line="360" w:lineRule="auto"/>
        <w:ind w:firstLine="640" w:firstLineChars="200"/>
        <w:rPr>
          <w:rFonts w:hint="default" w:ascii="仿宋_GB2312" w:hAnsi="Courier New" w:eastAsia="仿宋_GB2312"/>
          <w:kern w:val="0"/>
          <w:sz w:val="32"/>
          <w:szCs w:val="32"/>
          <w:highlight w:val="none"/>
        </w:rPr>
      </w:pPr>
      <w:bookmarkStart w:id="48" w:name="_Toc86589184"/>
      <w:bookmarkStart w:id="49" w:name="_Toc18106"/>
      <w:bookmarkStart w:id="50" w:name="_Toc21025"/>
      <w:r>
        <w:rPr>
          <w:rFonts w:ascii="仿宋_GB2312" w:eastAsia="仿宋_GB2312"/>
          <w:bCs/>
          <w:kern w:val="0"/>
          <w:sz w:val="32"/>
          <w:szCs w:val="32"/>
          <w:highlight w:val="none"/>
        </w:rPr>
        <w:t>（2）</w:t>
      </w:r>
      <w:r>
        <w:rPr>
          <w:rFonts w:ascii="仿宋_GB2312" w:hAnsi="Courier New" w:eastAsia="仿宋_GB2312"/>
          <w:kern w:val="0"/>
          <w:sz w:val="32"/>
          <w:szCs w:val="32"/>
          <w:highlight w:val="none"/>
        </w:rPr>
        <w:t>未缴纳农民工工资保证金。</w:t>
      </w:r>
    </w:p>
    <w:p>
      <w:pPr>
        <w:pStyle w:val="16"/>
        <w:snapToGrid w:val="0"/>
        <w:spacing w:line="360" w:lineRule="auto"/>
        <w:ind w:firstLine="640" w:firstLineChars="200"/>
        <w:rPr>
          <w:rFonts w:hint="default" w:ascii="仿宋_GB2312" w:eastAsia="仿宋_GB2312"/>
          <w:bCs/>
          <w:kern w:val="0"/>
          <w:sz w:val="32"/>
          <w:szCs w:val="32"/>
          <w:highlight w:val="none"/>
        </w:rPr>
      </w:pPr>
      <w:r>
        <w:rPr>
          <w:rFonts w:hint="default" w:ascii="仿宋_GB2312" w:hAnsi="Courier New" w:eastAsia="仿宋_GB2312"/>
          <w:kern w:val="0"/>
          <w:sz w:val="32"/>
          <w:szCs w:val="32"/>
          <w:highlight w:val="none"/>
        </w:rPr>
        <w:t>经审计</w:t>
      </w:r>
      <w:r>
        <w:rPr>
          <w:rFonts w:ascii="仿宋_GB2312" w:hAnsi="Courier New" w:eastAsia="仿宋_GB2312"/>
          <w:kern w:val="0"/>
          <w:sz w:val="32"/>
          <w:szCs w:val="32"/>
          <w:highlight w:val="none"/>
        </w:rPr>
        <w:t>发现</w:t>
      </w:r>
      <w:r>
        <w:rPr>
          <w:rFonts w:hint="default" w:ascii="仿宋_GB2312" w:hAnsi="Courier New" w:eastAsia="仿宋_GB2312"/>
          <w:kern w:val="0"/>
          <w:sz w:val="32"/>
          <w:szCs w:val="32"/>
          <w:highlight w:val="none"/>
        </w:rPr>
        <w:t>，</w:t>
      </w:r>
      <w:r>
        <w:rPr>
          <w:rStyle w:val="12"/>
          <w:rFonts w:hint="default" w:hAnsi="Mongolian Baiti" w:cs="Mongolian Baiti"/>
          <w:highlight w:val="none"/>
        </w:rPr>
        <w:t>景洪水电站勐海库区勐海县勐往乡灰塘村委会野谷塘人畜供水项目</w:t>
      </w:r>
      <w:r>
        <w:rPr>
          <w:rStyle w:val="12"/>
          <w:rFonts w:hAnsi="Mongolian Baiti" w:cs="Mongolian Baiti"/>
          <w:highlight w:val="none"/>
        </w:rPr>
        <w:t>未按照</w:t>
      </w:r>
      <w:r>
        <w:rPr>
          <w:rFonts w:hint="default" w:ascii="仿宋_GB2312" w:hAnsi="Courier New" w:eastAsia="仿宋_GB2312"/>
          <w:kern w:val="0"/>
          <w:sz w:val="32"/>
          <w:szCs w:val="32"/>
          <w:highlight w:val="none"/>
        </w:rPr>
        <w:t>《云南省农民工工资支付保障规定》</w:t>
      </w:r>
      <w:r>
        <w:rPr>
          <w:rFonts w:ascii="仿宋_GB2312" w:hAnsi="Courier New" w:eastAsia="仿宋_GB2312"/>
          <w:kern w:val="0"/>
          <w:sz w:val="32"/>
          <w:szCs w:val="32"/>
          <w:highlight w:val="none"/>
        </w:rPr>
        <w:t>的要求，</w:t>
      </w:r>
      <w:r>
        <w:rPr>
          <w:rFonts w:hint="default" w:ascii="仿宋_GB2312" w:hAnsi="Courier New" w:eastAsia="仿宋_GB2312"/>
          <w:kern w:val="0"/>
          <w:sz w:val="32"/>
          <w:szCs w:val="32"/>
          <w:highlight w:val="none"/>
        </w:rPr>
        <w:t>向县人社局缴纳农民工工资保证金。</w:t>
      </w:r>
    </w:p>
    <w:p>
      <w:pPr>
        <w:pStyle w:val="4"/>
        <w:spacing w:before="0" w:after="0" w:line="360" w:lineRule="auto"/>
        <w:ind w:firstLine="643" w:firstLineChars="200"/>
        <w:rPr>
          <w:rFonts w:ascii="仿宋_GB2312" w:hAnsi="方正楷体_GBK" w:eastAsia="仿宋_GB2312" w:cs="方正楷体_GBK"/>
          <w:bCs w:val="0"/>
          <w:color w:val="000000" w:themeColor="text1"/>
          <w:highlight w:val="none"/>
          <w:lang w:val="zh-CN"/>
          <w14:textFill>
            <w14:solidFill>
              <w14:schemeClr w14:val="tx1"/>
            </w14:solidFill>
          </w14:textFill>
        </w:rPr>
      </w:pPr>
      <w:r>
        <w:rPr>
          <w:rFonts w:hint="eastAsia" w:ascii="楷体_GB2312" w:eastAsia="楷体_GB2312" w:cs="Times New Roman"/>
          <w:bCs w:val="0"/>
          <w:color w:val="000000" w:themeColor="text1"/>
          <w:highlight w:val="none"/>
          <w14:textFill>
            <w14:solidFill>
              <w14:schemeClr w14:val="tx1"/>
            </w14:solidFill>
          </w14:textFill>
        </w:rPr>
        <w:t>（二）建议和改进举措</w:t>
      </w:r>
      <w:bookmarkEnd w:id="48"/>
      <w:bookmarkEnd w:id="49"/>
      <w:bookmarkEnd w:id="50"/>
    </w:p>
    <w:p>
      <w:pPr>
        <w:spacing w:line="360" w:lineRule="auto"/>
        <w:ind w:firstLine="660"/>
        <w:rPr>
          <w:rStyle w:val="12"/>
          <w:rFonts w:hint="default" w:hAnsi="Mongolian Baiti" w:cs="Mongolian Baiti"/>
          <w:highlight w:val="none"/>
        </w:rPr>
      </w:pPr>
      <w:bookmarkStart w:id="51" w:name="_Toc86589185"/>
      <w:r>
        <w:rPr>
          <w:rStyle w:val="12"/>
          <w:rFonts w:hint="default"/>
          <w:bCs/>
          <w:highlight w:val="none"/>
        </w:rPr>
        <w:t>1.建议</w:t>
      </w:r>
      <w:r>
        <w:rPr>
          <w:rFonts w:hint="eastAsia" w:ascii="仿宋_GB2312" w:hAnsi="仿宋_GB2312" w:eastAsia="仿宋_GB2312"/>
          <w:bCs/>
          <w:sz w:val="32"/>
          <w:szCs w:val="32"/>
          <w:highlight w:val="none"/>
        </w:rPr>
        <w:t>单位</w:t>
      </w:r>
      <w:r>
        <w:rPr>
          <w:rStyle w:val="12"/>
          <w:rFonts w:hint="default" w:hAnsi="Mongolian Baiti" w:cs="Mongolian Baiti"/>
          <w:highlight w:val="none"/>
        </w:rPr>
        <w:t>加强绩效管理工作，强化部门的绩效意识，做好部门内部绩效工作协调配合；根据绩效目标设置全面、清晰、量化可考核的指标，以便提高绩效评价的质量及效率。</w:t>
      </w:r>
    </w:p>
    <w:p>
      <w:pPr>
        <w:spacing w:line="360" w:lineRule="auto"/>
        <w:ind w:firstLine="660"/>
        <w:rPr>
          <w:rFonts w:ascii="仿宋_GB2312" w:hAnsi="仿宋" w:eastAsia="仿宋_GB2312"/>
          <w:bCs/>
          <w:color w:val="000000"/>
          <w:sz w:val="32"/>
          <w:szCs w:val="32"/>
          <w:highlight w:val="none"/>
        </w:rPr>
      </w:pPr>
      <w:r>
        <w:rPr>
          <w:rStyle w:val="12"/>
          <w:rFonts w:hint="default"/>
          <w:bCs/>
          <w:highlight w:val="none"/>
        </w:rPr>
        <w:t>2.</w:t>
      </w:r>
      <w:r>
        <w:rPr>
          <w:rFonts w:hint="eastAsia" w:ascii="仿宋_GB2312" w:hAnsi="仿宋" w:eastAsia="仿宋_GB2312"/>
          <w:bCs/>
          <w:color w:val="000000"/>
          <w:sz w:val="32"/>
          <w:szCs w:val="32"/>
          <w:highlight w:val="none"/>
        </w:rPr>
        <w:t>建议单位按照项目实施情况对绩效目标进一步细化、量化，分解为清晰、可衡量的绩效指标，确保绩效指标能充分支撑绩效目标的实现并可衡量、可考核，确保所细化分解的个性指标属于上一级指标的范畴并能充分支撑上一级指标的实现。</w:t>
      </w:r>
      <w:bookmarkEnd w:id="51"/>
    </w:p>
    <w:p>
      <w:pPr>
        <w:spacing w:line="360" w:lineRule="auto"/>
        <w:ind w:firstLine="640" w:firstLineChars="200"/>
        <w:jc w:val="left"/>
        <w:rPr>
          <w:rStyle w:val="12"/>
          <w:rFonts w:hint="default" w:hAnsi="Mongolian Baiti" w:cs="Mongolian Baiti"/>
          <w:highlight w:val="none"/>
        </w:rPr>
      </w:pPr>
      <w:r>
        <w:rPr>
          <w:rStyle w:val="12"/>
          <w:rFonts w:hint="default" w:hAnsi="Mongolian Baiti" w:cs="Mongolian Baiti"/>
          <w:highlight w:val="none"/>
        </w:rPr>
        <w:t>3.建议单位按照《基本建设项目竣工财务决算管理暂行办法》的相关规定，及时对完工工程进行工程</w:t>
      </w:r>
      <w:r>
        <w:rPr>
          <w:rStyle w:val="12"/>
          <w:rFonts w:hAnsi="Mongolian Baiti" w:cs="Mongolian Baiti"/>
          <w:highlight w:val="none"/>
        </w:rPr>
        <w:t>决</w:t>
      </w:r>
      <w:r>
        <w:rPr>
          <w:rStyle w:val="12"/>
          <w:rFonts w:hint="default" w:hAnsi="Mongolian Baiti" w:cs="Mongolian Baiti"/>
          <w:highlight w:val="none"/>
        </w:rPr>
        <w:t>算</w:t>
      </w:r>
      <w:r>
        <w:rPr>
          <w:rStyle w:val="12"/>
          <w:rFonts w:hAnsi="Mongolian Baiti" w:cs="Mongolian Baiti"/>
          <w:highlight w:val="none"/>
        </w:rPr>
        <w:t>。</w:t>
      </w:r>
    </w:p>
    <w:p>
      <w:pPr>
        <w:spacing w:line="360" w:lineRule="auto"/>
        <w:ind w:firstLine="640" w:firstLineChars="200"/>
        <w:jc w:val="left"/>
        <w:rPr>
          <w:rStyle w:val="12"/>
          <w:rFonts w:hint="default" w:hAnsi="Mongolian Baiti" w:cs="Mongolian Baiti"/>
          <w:highlight w:val="none"/>
        </w:rPr>
      </w:pPr>
      <w:r>
        <w:rPr>
          <w:rStyle w:val="12"/>
          <w:rFonts w:hint="default" w:hAnsi="Mongolian Baiti" w:cs="Mongolian Baiti"/>
          <w:highlight w:val="none"/>
        </w:rPr>
        <w:t>4.建议加强预算申报及执行管理，科学、合理的制定项目预算，及时、均衡执行项目预算，有效控制资金结转（结余）金额，提高资金使用效率。</w:t>
      </w:r>
    </w:p>
    <w:p>
      <w:pPr>
        <w:spacing w:line="360" w:lineRule="auto"/>
        <w:ind w:firstLine="640" w:firstLineChars="200"/>
        <w:jc w:val="left"/>
        <w:rPr>
          <w:rStyle w:val="12"/>
          <w:rFonts w:hint="default" w:hAnsi="Mongolian Baiti" w:cs="Mongolian Baiti"/>
          <w:highlight w:val="none"/>
        </w:rPr>
      </w:pPr>
      <w:r>
        <w:rPr>
          <w:rStyle w:val="12"/>
          <w:rFonts w:hint="default" w:hAnsi="Mongolian Baiti" w:cs="Mongolian Baiti"/>
          <w:highlight w:val="none"/>
        </w:rPr>
        <w:t>5.建议单位采取业务培训、考察交流、现场指导等形式加强绩效评价相关知识的学习和培训，在实际工作中不断积累经验，不断提高预算绩效管理工作水平和绩效自评工作质量。</w:t>
      </w:r>
    </w:p>
    <w:p>
      <w:pPr>
        <w:rPr>
          <w:rFonts w:ascii="仿宋_GB2312" w:eastAsia="仿宋_GB2312"/>
          <w:bCs/>
          <w:sz w:val="32"/>
          <w:szCs w:val="32"/>
          <w:highlight w:val="none"/>
        </w:rPr>
      </w:pPr>
    </w:p>
    <w:p>
      <w:pPr>
        <w:ind w:firstLine="640" w:firstLineChars="200"/>
        <w:rPr>
          <w:rFonts w:ascii="仿宋_GB2312" w:eastAsia="仿宋_GB2312"/>
          <w:bCs/>
          <w:sz w:val="32"/>
          <w:szCs w:val="32"/>
          <w:highlight w:val="none"/>
        </w:rPr>
      </w:pP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附件：景洪水电站勐海库区勐海县勐往乡灰塘村委会野谷塘人畜供水项目支出绩效评价指标及评分表</w:t>
      </w:r>
    </w:p>
    <w:p>
      <w:pPr>
        <w:ind w:firstLine="643" w:firstLineChars="200"/>
        <w:rPr>
          <w:rFonts w:ascii="仿宋_GB2312" w:eastAsia="仿宋_GB2312"/>
          <w:b/>
          <w:sz w:val="32"/>
          <w:szCs w:val="32"/>
          <w:highlight w:val="none"/>
        </w:rPr>
      </w:pPr>
    </w:p>
    <w:tbl>
      <w:tblPr>
        <w:tblStyle w:val="10"/>
        <w:tblpPr w:leftFromText="180" w:rightFromText="180" w:vertAnchor="text" w:horzAnchor="page" w:tblpX="2152" w:tblpY="526"/>
        <w:tblOverlap w:val="never"/>
        <w:tblW w:w="7815" w:type="dxa"/>
        <w:tblInd w:w="0" w:type="dxa"/>
        <w:tblLayout w:type="fixed"/>
        <w:tblCellMar>
          <w:top w:w="0" w:type="dxa"/>
          <w:left w:w="108" w:type="dxa"/>
          <w:bottom w:w="0" w:type="dxa"/>
          <w:right w:w="108" w:type="dxa"/>
        </w:tblCellMar>
      </w:tblPr>
      <w:tblGrid>
        <w:gridCol w:w="3824"/>
        <w:gridCol w:w="3991"/>
      </w:tblGrid>
      <w:tr>
        <w:tblPrEx>
          <w:tblLayout w:type="fixed"/>
          <w:tblCellMar>
            <w:top w:w="0" w:type="dxa"/>
            <w:left w:w="108" w:type="dxa"/>
            <w:bottom w:w="0" w:type="dxa"/>
            <w:right w:w="108" w:type="dxa"/>
          </w:tblCellMar>
        </w:tblPrEx>
        <w:trPr>
          <w:trHeight w:val="898" w:hRule="atLeast"/>
        </w:trPr>
        <w:tc>
          <w:tcPr>
            <w:tcW w:w="3824" w:type="dxa"/>
            <w:shd w:val="clear" w:color="auto" w:fill="auto"/>
          </w:tcPr>
          <w:p>
            <w:pPr>
              <w:spacing w:line="360" w:lineRule="auto"/>
              <w:jc w:val="center"/>
              <w:rPr>
                <w:rFonts w:ascii="仿宋" w:hAnsi="仿宋" w:eastAsia="仿宋"/>
                <w:b/>
                <w:sz w:val="32"/>
                <w:szCs w:val="32"/>
                <w:highlight w:val="none"/>
              </w:rPr>
            </w:pPr>
            <w:r>
              <w:rPr>
                <w:rFonts w:hint="eastAsia" w:ascii="仿宋" w:hAnsi="仿宋" w:eastAsia="仿宋"/>
                <w:b/>
                <w:sz w:val="32"/>
                <w:szCs w:val="32"/>
                <w:highlight w:val="none"/>
              </w:rPr>
              <w:t>云南信立会计师事务所</w:t>
            </w:r>
          </w:p>
        </w:tc>
        <w:tc>
          <w:tcPr>
            <w:tcW w:w="3991" w:type="dxa"/>
          </w:tcPr>
          <w:p>
            <w:pPr>
              <w:spacing w:line="360" w:lineRule="auto"/>
              <w:jc w:val="center"/>
              <w:rPr>
                <w:rFonts w:ascii="仿宋" w:hAnsi="仿宋" w:eastAsia="仿宋"/>
                <w:b/>
                <w:sz w:val="32"/>
                <w:szCs w:val="32"/>
                <w:highlight w:val="none"/>
              </w:rPr>
            </w:pPr>
            <w:r>
              <w:rPr>
                <w:rFonts w:hint="eastAsia" w:ascii="仿宋" w:hAnsi="仿宋" w:eastAsia="仿宋"/>
                <w:b/>
                <w:sz w:val="32"/>
                <w:szCs w:val="32"/>
                <w:highlight w:val="none"/>
              </w:rPr>
              <w:t>中国注册会计师：</w:t>
            </w:r>
          </w:p>
        </w:tc>
      </w:tr>
      <w:tr>
        <w:tblPrEx>
          <w:tblLayout w:type="fixed"/>
        </w:tblPrEx>
        <w:trPr>
          <w:trHeight w:val="774" w:hRule="atLeast"/>
        </w:trPr>
        <w:tc>
          <w:tcPr>
            <w:tcW w:w="3824" w:type="dxa"/>
          </w:tcPr>
          <w:p>
            <w:pPr>
              <w:spacing w:line="360" w:lineRule="auto"/>
              <w:jc w:val="center"/>
              <w:rPr>
                <w:rFonts w:ascii="仿宋" w:hAnsi="仿宋" w:eastAsia="仿宋"/>
                <w:b/>
                <w:sz w:val="32"/>
                <w:szCs w:val="32"/>
                <w:highlight w:val="none"/>
              </w:rPr>
            </w:pPr>
            <w:r>
              <w:rPr>
                <w:rFonts w:hint="eastAsia" w:ascii="仿宋" w:hAnsi="仿宋" w:eastAsia="仿宋"/>
                <w:b/>
                <w:sz w:val="32"/>
                <w:szCs w:val="32"/>
                <w:highlight w:val="none"/>
              </w:rPr>
              <w:t>有限公司</w:t>
            </w:r>
          </w:p>
        </w:tc>
        <w:tc>
          <w:tcPr>
            <w:tcW w:w="3991" w:type="dxa"/>
          </w:tcPr>
          <w:p>
            <w:pPr>
              <w:spacing w:line="360" w:lineRule="auto"/>
              <w:jc w:val="center"/>
              <w:rPr>
                <w:rFonts w:ascii="仿宋" w:hAnsi="仿宋" w:eastAsia="仿宋"/>
                <w:b/>
                <w:sz w:val="32"/>
                <w:szCs w:val="32"/>
                <w:highlight w:val="none"/>
              </w:rPr>
            </w:pPr>
            <w:r>
              <w:rPr>
                <w:rFonts w:hint="eastAsia" w:ascii="仿宋" w:hAnsi="仿宋" w:eastAsia="仿宋"/>
                <w:b/>
                <w:sz w:val="32"/>
                <w:szCs w:val="32"/>
                <w:highlight w:val="none"/>
              </w:rPr>
              <w:t>中国注册会计师：</w:t>
            </w:r>
          </w:p>
        </w:tc>
      </w:tr>
      <w:tr>
        <w:tblPrEx>
          <w:tblLayout w:type="fixed"/>
          <w:tblCellMar>
            <w:top w:w="0" w:type="dxa"/>
            <w:left w:w="108" w:type="dxa"/>
            <w:bottom w:w="0" w:type="dxa"/>
            <w:right w:w="108" w:type="dxa"/>
          </w:tblCellMar>
        </w:tblPrEx>
        <w:trPr>
          <w:trHeight w:val="784" w:hRule="atLeast"/>
        </w:trPr>
        <w:tc>
          <w:tcPr>
            <w:tcW w:w="3824" w:type="dxa"/>
          </w:tcPr>
          <w:p>
            <w:pPr>
              <w:spacing w:line="360" w:lineRule="auto"/>
              <w:ind w:firstLine="964" w:firstLineChars="300"/>
              <w:rPr>
                <w:rFonts w:ascii="仿宋" w:hAnsi="仿宋" w:eastAsia="仿宋"/>
                <w:b/>
                <w:sz w:val="32"/>
                <w:szCs w:val="32"/>
                <w:highlight w:val="none"/>
              </w:rPr>
            </w:pPr>
            <w:r>
              <w:rPr>
                <w:rFonts w:hint="eastAsia" w:ascii="仿宋" w:hAnsi="仿宋" w:eastAsia="仿宋"/>
                <w:b/>
                <w:sz w:val="32"/>
                <w:szCs w:val="32"/>
                <w:highlight w:val="none"/>
              </w:rPr>
              <w:t>中国·昆明</w:t>
            </w:r>
          </w:p>
        </w:tc>
        <w:tc>
          <w:tcPr>
            <w:tcW w:w="3991" w:type="dxa"/>
          </w:tcPr>
          <w:p>
            <w:pPr>
              <w:spacing w:line="400" w:lineRule="exact"/>
              <w:jc w:val="center"/>
              <w:rPr>
                <w:rFonts w:ascii="仿宋" w:hAnsi="仿宋" w:eastAsia="仿宋"/>
                <w:b/>
                <w:sz w:val="32"/>
                <w:szCs w:val="32"/>
                <w:highlight w:val="none"/>
              </w:rPr>
            </w:pPr>
            <w:r>
              <w:rPr>
                <w:rFonts w:hint="eastAsia" w:ascii="仿宋" w:hAnsi="仿宋" w:eastAsia="仿宋" w:cs="宋体"/>
                <w:b/>
                <w:spacing w:val="6"/>
                <w:sz w:val="32"/>
                <w:szCs w:val="32"/>
                <w:highlight w:val="none"/>
              </w:rPr>
              <w:t>二</w:t>
            </w:r>
            <w:r>
              <w:rPr>
                <w:rFonts w:hint="eastAsia" w:ascii="仿宋" w:hAnsi="仿宋" w:eastAsia="仿宋" w:cs="微软雅黑"/>
                <w:b/>
                <w:spacing w:val="6"/>
                <w:sz w:val="32"/>
                <w:szCs w:val="32"/>
                <w:highlight w:val="none"/>
              </w:rPr>
              <w:t>〇</w:t>
            </w:r>
            <w:r>
              <w:rPr>
                <w:rFonts w:hint="eastAsia" w:ascii="仿宋" w:hAnsi="仿宋" w:eastAsia="仿宋" w:cs="宋体"/>
                <w:b/>
                <w:spacing w:val="6"/>
                <w:sz w:val="32"/>
                <w:szCs w:val="32"/>
                <w:highlight w:val="none"/>
              </w:rPr>
              <w:t>二二年十一月十五日</w:t>
            </w:r>
          </w:p>
        </w:tc>
      </w:tr>
    </w:tbl>
    <w:p>
      <w:pPr>
        <w:spacing w:line="360" w:lineRule="auto"/>
        <w:ind w:firstLine="640" w:firstLineChars="200"/>
        <w:jc w:val="left"/>
        <w:rPr>
          <w:rStyle w:val="12"/>
          <w:rFonts w:hint="default" w:hAnsi="Mongolian Baiti" w:cs="Mongolian Baiti"/>
          <w:highlight w:val="none"/>
        </w:rPr>
      </w:pPr>
    </w:p>
    <w:p>
      <w:pPr>
        <w:spacing w:line="360" w:lineRule="auto"/>
        <w:ind w:firstLine="640" w:firstLineChars="200"/>
        <w:jc w:val="left"/>
        <w:rPr>
          <w:rStyle w:val="12"/>
          <w:rFonts w:hint="default" w:hAnsi="Mongolian Baiti" w:cs="Mongolian Baiti"/>
          <w:highlight w:val="none"/>
        </w:rPr>
      </w:pPr>
    </w:p>
    <w:sectPr>
      <w:footerReference r:id="rId8"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embedRegular r:id="rId1" w:fontKey="{A536FF40-5E3E-4207-B43B-1F0A46B46B7C}"/>
  </w:font>
  <w:font w:name="Courier New">
    <w:panose1 w:val="02070309020205020404"/>
    <w:charset w:val="01"/>
    <w:family w:val="modern"/>
    <w:pitch w:val="default"/>
    <w:sig w:usb0="00007A87" w:usb1="80000000" w:usb2="00000008" w:usb3="00000000" w:csb0="400001FF" w:csb1="FFFF0000"/>
    <w:embedRegular r:id="rId2" w:fontKey="{0B115E13-2BD4-4578-BC88-1EAC97165C6B}"/>
  </w:font>
  <w:font w:name="Symbol">
    <w:panose1 w:val="05050102010706020507"/>
    <w:charset w:val="02"/>
    <w:family w:val="roman"/>
    <w:pitch w:val="default"/>
    <w:sig w:usb0="00000000" w:usb1="00000000" w:usb2="00000000" w:usb3="00000000" w:csb0="80000000" w:csb1="00000000"/>
  </w:font>
  <w:font w:name="Calibri">
    <w:altName w:val="Century Gothic"/>
    <w:panose1 w:val="020F0502020204030204"/>
    <w:charset w:val="00"/>
    <w:family w:val="swiss"/>
    <w:pitch w:val="default"/>
    <w:sig w:usb0="00000000" w:usb1="00000000" w:usb2="00000001" w:usb3="00000000" w:csb0="0000019F" w:csb1="00000000"/>
  </w:font>
  <w:font w:name="Calibri Light">
    <w:altName w:val="Century Gothic"/>
    <w:panose1 w:val="020F0302020204030204"/>
    <w:charset w:val="00"/>
    <w:family w:val="swiss"/>
    <w:pitch w:val="default"/>
    <w:sig w:usb0="00000000" w:usb1="00000000"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884501EF-448F-4409-9776-9FF2470B1EF2}"/>
  </w:font>
  <w:font w:name="仿宋">
    <w:altName w:val="宋体"/>
    <w:panose1 w:val="02010609060101010101"/>
    <w:charset w:val="86"/>
    <w:family w:val="auto"/>
    <w:pitch w:val="default"/>
    <w:sig w:usb0="00000000" w:usb1="00000000" w:usb2="00000016" w:usb3="00000000" w:csb0="00040001" w:csb1="00000000"/>
    <w:embedRegular r:id="rId4" w:fontKey="{8FE63840-C8B8-4201-ABA2-298A6D2EEEE1}"/>
  </w:font>
  <w:font w:name="方正小标宋_GBK">
    <w:panose1 w:val="03000509000000000000"/>
    <w:charset w:val="86"/>
    <w:family w:val="auto"/>
    <w:pitch w:val="default"/>
    <w:sig w:usb0="00000001" w:usb1="080E0000" w:usb2="00000000" w:usb3="00000000" w:csb0="00040000" w:csb1="00000000"/>
    <w:embedRegular r:id="rId5" w:fontKey="{E27531C2-21BA-4DCB-A61D-694D5ED13369}"/>
  </w:font>
  <w:font w:name="方正仿宋_GBK">
    <w:panose1 w:val="02000000000000000000"/>
    <w:charset w:val="86"/>
    <w:family w:val="script"/>
    <w:pitch w:val="default"/>
    <w:sig w:usb0="00000001" w:usb1="080E0000" w:usb2="00000000" w:usb3="00000000" w:csb0="00040000" w:csb1="00000000"/>
    <w:embedRegular r:id="rId6" w:fontKey="{9C1AEBF6-6D2C-485D-91C9-9B1C303C67EB}"/>
  </w:font>
  <w:font w:name="Mongolian Baiti">
    <w:altName w:val="Monotype Corsiva"/>
    <w:panose1 w:val="03000500000000000000"/>
    <w:charset w:val="00"/>
    <w:family w:val="script"/>
    <w:pitch w:val="default"/>
    <w:sig w:usb0="00000000" w:usb1="00000000" w:usb2="00020000" w:usb3="00000000" w:csb0="00000001" w:csb1="00000000"/>
  </w:font>
  <w:font w:name="方正黑体_GBK">
    <w:panose1 w:val="03000509000000000000"/>
    <w:charset w:val="86"/>
    <w:family w:val="script"/>
    <w:pitch w:val="default"/>
    <w:sig w:usb0="00000001" w:usb1="080E0000" w:usb2="00000000" w:usb3="00000000" w:csb0="00040000" w:csb1="00000000"/>
    <w:embedRegular r:id="rId7" w:fontKey="{A86E40EE-AE9B-4752-81E9-C2CEB71FB774}"/>
  </w:font>
  <w:font w:name="方正楷体_GBK">
    <w:panose1 w:val="03000509000000000000"/>
    <w:charset w:val="86"/>
    <w:family w:val="auto"/>
    <w:pitch w:val="default"/>
    <w:sig w:usb0="00000001" w:usb1="080E0000" w:usb2="00000000" w:usb3="00000000" w:csb0="00040000" w:csb1="00000000"/>
    <w:embedRegular r:id="rId8" w:fontKey="{01F195E1-4CED-41FC-9EE0-334FB59BBFDC}"/>
  </w:font>
  <w:font w:name="楷体_GB2312">
    <w:panose1 w:val="02010609030101010101"/>
    <w:charset w:val="86"/>
    <w:family w:val="modern"/>
    <w:pitch w:val="default"/>
    <w:sig w:usb0="00000001" w:usb1="080E0000" w:usb2="00000000" w:usb3="00000000" w:csb0="00040000" w:csb1="00000000"/>
    <w:embedRegular r:id="rId9" w:fontKey="{687BF55C-5AC5-42CA-A9C2-358529067064}"/>
  </w:font>
  <w:font w:name="华文楷体">
    <w:altName w:val="楷体_GB2312"/>
    <w:panose1 w:val="02010600040101010101"/>
    <w:charset w:val="86"/>
    <w:family w:val="auto"/>
    <w:pitch w:val="default"/>
    <w:sig w:usb0="00000000" w:usb1="00000000" w:usb2="00000000" w:usb3="00000000" w:csb0="0004009F" w:csb1="DFD70000"/>
    <w:embedRegular r:id="rId10" w:fontKey="{D0149435-370C-4DFB-893B-D3CDEE3D1E95}"/>
  </w:font>
  <w:font w:name="微软雅黑">
    <w:altName w:val="黑体"/>
    <w:panose1 w:val="020B0503020204020204"/>
    <w:charset w:val="86"/>
    <w:family w:val="auto"/>
    <w:pitch w:val="default"/>
    <w:sig w:usb0="00000000" w:usb1="00000000" w:usb2="00000016" w:usb3="00000000" w:csb0="0004001F" w:csb1="00000000"/>
    <w:embedRegular r:id="rId11" w:fontKey="{DE7C2365-40EA-4AA5-B0C7-51E468E01E98}"/>
  </w:font>
  <w:font w:name="Monotype Corsiva">
    <w:panose1 w:val="03010101010201010101"/>
    <w:charset w:val="00"/>
    <w:family w:val="auto"/>
    <w:pitch w:val="default"/>
    <w:sig w:usb0="00000287" w:usb1="00000000" w:usb2="00000000" w:usb3="00000000" w:csb0="2000009F" w:csb1="DFD70000"/>
  </w:font>
  <w:font w:name="Century Gothic">
    <w:panose1 w:val="020B05020202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128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VlNDM3NzgxYmZmMzRhYjQ0YjcwNWNlNDRkNjYwNzkifQ=="/>
  </w:docVars>
  <w:rsids>
    <w:rsidRoot w:val="3CD45976"/>
    <w:rsid w:val="000023E4"/>
    <w:rsid w:val="001D1472"/>
    <w:rsid w:val="001F100D"/>
    <w:rsid w:val="00242EFD"/>
    <w:rsid w:val="004D7398"/>
    <w:rsid w:val="00733C4E"/>
    <w:rsid w:val="008B4425"/>
    <w:rsid w:val="009C7C36"/>
    <w:rsid w:val="00A13B5E"/>
    <w:rsid w:val="00A73236"/>
    <w:rsid w:val="00A861A6"/>
    <w:rsid w:val="00AB4C64"/>
    <w:rsid w:val="00BB543D"/>
    <w:rsid w:val="00CA1552"/>
    <w:rsid w:val="00CF0D32"/>
    <w:rsid w:val="00D148D0"/>
    <w:rsid w:val="00D36733"/>
    <w:rsid w:val="00F92F53"/>
    <w:rsid w:val="00FF1F88"/>
    <w:rsid w:val="01AF31EB"/>
    <w:rsid w:val="02DC7E65"/>
    <w:rsid w:val="036B5288"/>
    <w:rsid w:val="037153B2"/>
    <w:rsid w:val="03A34A22"/>
    <w:rsid w:val="03A666A1"/>
    <w:rsid w:val="04657F2A"/>
    <w:rsid w:val="04685755"/>
    <w:rsid w:val="049159A9"/>
    <w:rsid w:val="06EB2968"/>
    <w:rsid w:val="07497D4A"/>
    <w:rsid w:val="086214E9"/>
    <w:rsid w:val="08A306D2"/>
    <w:rsid w:val="08CE0793"/>
    <w:rsid w:val="09B9114D"/>
    <w:rsid w:val="0AB87DA1"/>
    <w:rsid w:val="0B3C130A"/>
    <w:rsid w:val="0B5807E8"/>
    <w:rsid w:val="0BB04180"/>
    <w:rsid w:val="0BE36F82"/>
    <w:rsid w:val="0C1F1E7E"/>
    <w:rsid w:val="0D18022F"/>
    <w:rsid w:val="0E415563"/>
    <w:rsid w:val="0E704C4B"/>
    <w:rsid w:val="0EBB761E"/>
    <w:rsid w:val="0EC93B4A"/>
    <w:rsid w:val="0EC9486A"/>
    <w:rsid w:val="0ED4131C"/>
    <w:rsid w:val="104D57FF"/>
    <w:rsid w:val="10A5002C"/>
    <w:rsid w:val="11412876"/>
    <w:rsid w:val="11B036FF"/>
    <w:rsid w:val="11C93668"/>
    <w:rsid w:val="129D710F"/>
    <w:rsid w:val="132B5D11"/>
    <w:rsid w:val="1409594F"/>
    <w:rsid w:val="15692637"/>
    <w:rsid w:val="16225C7A"/>
    <w:rsid w:val="16CF77DB"/>
    <w:rsid w:val="17026789"/>
    <w:rsid w:val="170A508C"/>
    <w:rsid w:val="1776627E"/>
    <w:rsid w:val="17A032FB"/>
    <w:rsid w:val="17EE6384"/>
    <w:rsid w:val="19792055"/>
    <w:rsid w:val="1A073B05"/>
    <w:rsid w:val="1AB1581F"/>
    <w:rsid w:val="1B915751"/>
    <w:rsid w:val="1C023B95"/>
    <w:rsid w:val="1C024584"/>
    <w:rsid w:val="1CC7190C"/>
    <w:rsid w:val="1D660B43"/>
    <w:rsid w:val="1E786D7F"/>
    <w:rsid w:val="1FA7089A"/>
    <w:rsid w:val="1FC913C8"/>
    <w:rsid w:val="2067741B"/>
    <w:rsid w:val="20C53DD2"/>
    <w:rsid w:val="21AD6D40"/>
    <w:rsid w:val="22E04EF3"/>
    <w:rsid w:val="23475D25"/>
    <w:rsid w:val="237A5348"/>
    <w:rsid w:val="243948BB"/>
    <w:rsid w:val="24B576BF"/>
    <w:rsid w:val="25470AC6"/>
    <w:rsid w:val="276A21B0"/>
    <w:rsid w:val="27BA584F"/>
    <w:rsid w:val="27DA63B5"/>
    <w:rsid w:val="2821538A"/>
    <w:rsid w:val="297663CF"/>
    <w:rsid w:val="29EA1A4A"/>
    <w:rsid w:val="2A2102CB"/>
    <w:rsid w:val="2A7F4FF2"/>
    <w:rsid w:val="2BA13B50"/>
    <w:rsid w:val="2CE43832"/>
    <w:rsid w:val="2D774E52"/>
    <w:rsid w:val="2DB028A9"/>
    <w:rsid w:val="2E506537"/>
    <w:rsid w:val="2E8C3772"/>
    <w:rsid w:val="2EDE49DD"/>
    <w:rsid w:val="2EFF73DD"/>
    <w:rsid w:val="2F343EF0"/>
    <w:rsid w:val="2F7278FB"/>
    <w:rsid w:val="31AF2660"/>
    <w:rsid w:val="336E0866"/>
    <w:rsid w:val="33955886"/>
    <w:rsid w:val="342A2472"/>
    <w:rsid w:val="34504027"/>
    <w:rsid w:val="35166A9A"/>
    <w:rsid w:val="35C01E53"/>
    <w:rsid w:val="361E679B"/>
    <w:rsid w:val="364945BF"/>
    <w:rsid w:val="3747333B"/>
    <w:rsid w:val="3888691E"/>
    <w:rsid w:val="39987983"/>
    <w:rsid w:val="3A782D0B"/>
    <w:rsid w:val="3B0C569D"/>
    <w:rsid w:val="3B395074"/>
    <w:rsid w:val="3BAE3989"/>
    <w:rsid w:val="3CD45976"/>
    <w:rsid w:val="3E0B2112"/>
    <w:rsid w:val="3E815385"/>
    <w:rsid w:val="3F7647BE"/>
    <w:rsid w:val="40F40090"/>
    <w:rsid w:val="41FF011E"/>
    <w:rsid w:val="42D9059E"/>
    <w:rsid w:val="4383394D"/>
    <w:rsid w:val="43A050CE"/>
    <w:rsid w:val="43C91AC2"/>
    <w:rsid w:val="443F0C6B"/>
    <w:rsid w:val="453C14A7"/>
    <w:rsid w:val="4628592E"/>
    <w:rsid w:val="46466223"/>
    <w:rsid w:val="466C603C"/>
    <w:rsid w:val="46A936CA"/>
    <w:rsid w:val="471B463F"/>
    <w:rsid w:val="4B5A7CCA"/>
    <w:rsid w:val="4BE94409"/>
    <w:rsid w:val="4CEA3D54"/>
    <w:rsid w:val="4D3A32CE"/>
    <w:rsid w:val="501A51B5"/>
    <w:rsid w:val="501B05F8"/>
    <w:rsid w:val="502C3829"/>
    <w:rsid w:val="519C02A9"/>
    <w:rsid w:val="520520E5"/>
    <w:rsid w:val="52A511EA"/>
    <w:rsid w:val="52E04D4D"/>
    <w:rsid w:val="533B173C"/>
    <w:rsid w:val="5379699D"/>
    <w:rsid w:val="53E40329"/>
    <w:rsid w:val="53F421C2"/>
    <w:rsid w:val="5448792C"/>
    <w:rsid w:val="54680231"/>
    <w:rsid w:val="55253C4B"/>
    <w:rsid w:val="56C31CBD"/>
    <w:rsid w:val="57B44BA4"/>
    <w:rsid w:val="585D2BA2"/>
    <w:rsid w:val="58FE1A36"/>
    <w:rsid w:val="59865ABD"/>
    <w:rsid w:val="59BC7247"/>
    <w:rsid w:val="59EF5441"/>
    <w:rsid w:val="5A0570EA"/>
    <w:rsid w:val="5A2C4951"/>
    <w:rsid w:val="5CE35EFC"/>
    <w:rsid w:val="5D314820"/>
    <w:rsid w:val="5D577585"/>
    <w:rsid w:val="5DF64FF0"/>
    <w:rsid w:val="5ECC3FA2"/>
    <w:rsid w:val="60544A89"/>
    <w:rsid w:val="60E43825"/>
    <w:rsid w:val="61001CE1"/>
    <w:rsid w:val="612229C7"/>
    <w:rsid w:val="61D170C2"/>
    <w:rsid w:val="6239194F"/>
    <w:rsid w:val="62926444"/>
    <w:rsid w:val="62B30594"/>
    <w:rsid w:val="62F00313"/>
    <w:rsid w:val="63500CFE"/>
    <w:rsid w:val="6361513E"/>
    <w:rsid w:val="63D368D7"/>
    <w:rsid w:val="64041AE8"/>
    <w:rsid w:val="66770C98"/>
    <w:rsid w:val="66775E80"/>
    <w:rsid w:val="6726010C"/>
    <w:rsid w:val="67A7735B"/>
    <w:rsid w:val="67EE4F89"/>
    <w:rsid w:val="68BE670A"/>
    <w:rsid w:val="692D388F"/>
    <w:rsid w:val="6A0C16F7"/>
    <w:rsid w:val="6B2F3761"/>
    <w:rsid w:val="6B6E0360"/>
    <w:rsid w:val="6DD74846"/>
    <w:rsid w:val="6F7E6BF3"/>
    <w:rsid w:val="70C91164"/>
    <w:rsid w:val="71AA005D"/>
    <w:rsid w:val="724D7B6E"/>
    <w:rsid w:val="728269FA"/>
    <w:rsid w:val="72A44BC2"/>
    <w:rsid w:val="72AD0C00"/>
    <w:rsid w:val="72C33DAB"/>
    <w:rsid w:val="72C52C6E"/>
    <w:rsid w:val="72E465DD"/>
    <w:rsid w:val="72ED2879"/>
    <w:rsid w:val="75B94E29"/>
    <w:rsid w:val="76294EAC"/>
    <w:rsid w:val="769B452E"/>
    <w:rsid w:val="76C83CFD"/>
    <w:rsid w:val="76D6413F"/>
    <w:rsid w:val="76DA5057"/>
    <w:rsid w:val="786848E4"/>
    <w:rsid w:val="79FA156C"/>
    <w:rsid w:val="7A6D61E2"/>
    <w:rsid w:val="7B0E1773"/>
    <w:rsid w:val="7B3769EF"/>
    <w:rsid w:val="7BB85707"/>
    <w:rsid w:val="7CCB779B"/>
    <w:rsid w:val="7D77600D"/>
    <w:rsid w:val="7DD10836"/>
    <w:rsid w:val="7EDA603C"/>
    <w:rsid w:val="7F40782E"/>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footnote text"/>
    <w:basedOn w:val="1"/>
    <w:qFormat/>
    <w:uiPriority w:val="0"/>
    <w:pPr>
      <w:snapToGrid w:val="0"/>
      <w:jc w:val="left"/>
    </w:pPr>
    <w:rPr>
      <w:sz w:val="18"/>
      <w:szCs w:val="18"/>
    </w:rPr>
  </w:style>
  <w:style w:type="paragraph" w:styleId="5">
    <w:name w:val="Balloon Text"/>
    <w:basedOn w:val="1"/>
    <w:link w:val="15"/>
    <w:qFormat/>
    <w:uiPriority w:val="0"/>
    <w:rPr>
      <w:sz w:val="18"/>
      <w:szCs w:val="18"/>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931"/>
      </w:tabs>
      <w:spacing w:line="600" w:lineRule="exact"/>
      <w:jc w:val="center"/>
    </w:pPr>
    <w:rPr>
      <w:kern w:val="0"/>
      <w:sz w:val="28"/>
      <w:szCs w:val="28"/>
    </w:rPr>
  </w:style>
  <w:style w:type="paragraph" w:styleId="9">
    <w:name w:val="toc 2"/>
    <w:basedOn w:val="1"/>
    <w:next w:val="1"/>
    <w:unhideWhenUsed/>
    <w:qFormat/>
    <w:uiPriority w:val="39"/>
    <w:pPr>
      <w:tabs>
        <w:tab w:val="right" w:leader="dot" w:pos="8948"/>
      </w:tabs>
      <w:ind w:left="566" w:hanging="566" w:hangingChars="202"/>
    </w:pPr>
  </w:style>
  <w:style w:type="character" w:customStyle="1" w:styleId="12">
    <w:name w:val="公文正文"/>
    <w:basedOn w:val="11"/>
    <w:qFormat/>
    <w:uiPriority w:val="0"/>
    <w:rPr>
      <w:rFonts w:hint="eastAsia" w:ascii="仿宋_GB2312" w:eastAsia="仿宋_GB2312"/>
      <w:sz w:val="32"/>
    </w:rPr>
  </w:style>
  <w:style w:type="paragraph" w:customStyle="1" w:styleId="13">
    <w:name w:val="WPSOffice手动目录 1"/>
    <w:qFormat/>
    <w:uiPriority w:val="0"/>
    <w:rPr>
      <w:rFonts w:ascii="Times New Roman" w:hAnsi="Times New Roman" w:eastAsia="宋体" w:cs="Times New Roman"/>
      <w:lang w:val="en-US" w:eastAsia="zh-CN" w:bidi="ar-SA"/>
    </w:rPr>
  </w:style>
  <w:style w:type="paragraph" w:customStyle="1" w:styleId="1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5">
    <w:name w:val="批注框文本 Char"/>
    <w:basedOn w:val="11"/>
    <w:link w:val="5"/>
    <w:qFormat/>
    <w:uiPriority w:val="0"/>
    <w:rPr>
      <w:kern w:val="2"/>
      <w:sz w:val="18"/>
      <w:szCs w:val="18"/>
    </w:rPr>
  </w:style>
  <w:style w:type="paragraph" w:customStyle="1" w:styleId="16">
    <w:name w:val="正文1"/>
    <w:qFormat/>
    <w:uiPriority w:val="0"/>
    <w:pPr>
      <w:widowControl w:val="0"/>
      <w:jc w:val="both"/>
    </w:pPr>
    <w:rPr>
      <w:rFonts w:hint="eastAsia"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emf"/><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8557</Words>
  <Characters>9050</Characters>
  <Lines>71</Lines>
  <Paragraphs>20</Paragraphs>
  <TotalTime>42</TotalTime>
  <ScaleCrop>false</ScaleCrop>
  <LinksUpToDate>false</LinksUpToDate>
  <CharactersWithSpaces>9073</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2022-09-21T02:14:00Z</dcterms:created>
  <dc:creator>牛牛</dc:creator>
  <cp:lastModifiedBy>Administrator</cp:lastModifiedBy>
  <dcterms:modified xsi:type="dcterms:W3CDTF">2022-12-12T02:38:09Z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E95E855CE6154354A53BA2DA4482918F</vt:lpwstr>
  </property>
</Properties>
</file>