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wrap="around" w:vAnchor="text" w:hAnchor="margin" w:xAlign="center" w:y="165"/>
        <w:widowControl/>
        <w:overflowPunct w:val="0"/>
        <w:autoSpaceDE w:val="0"/>
        <w:autoSpaceDN w:val="0"/>
        <w:spacing w:line="700" w:lineRule="exact"/>
        <w:rPr>
          <w:rFonts w:ascii="仿宋" w:hAnsi="仿宋" w:eastAsia="仿宋"/>
          <w:b/>
          <w:sz w:val="36"/>
          <w:szCs w:val="36"/>
          <w:highlight w:val="none"/>
        </w:rPr>
      </w:pPr>
    </w:p>
    <w:p>
      <w:pPr>
        <w:framePr w:hSpace="180" w:wrap="around" w:vAnchor="text" w:hAnchor="margin" w:xAlign="center" w:y="165"/>
        <w:spacing w:line="700" w:lineRule="exact"/>
        <w:jc w:val="center"/>
        <w:rPr>
          <w:rFonts w:ascii="宋体" w:hAnsi="宋体" w:cs="仿宋_GB2312"/>
          <w:b/>
          <w:color w:val="000000" w:themeColor="text1"/>
          <w:spacing w:val="40"/>
          <w:sz w:val="44"/>
          <w:szCs w:val="44"/>
          <w:highlight w:val="none"/>
          <w14:textFill>
            <w14:solidFill>
              <w14:schemeClr w14:val="tx1"/>
            </w14:solidFill>
          </w14:textFill>
        </w:rPr>
      </w:pPr>
      <w:r>
        <w:rPr>
          <w:rFonts w:hint="eastAsia" w:ascii="方正小标宋_GBK" w:hAnsi="方正小标宋_GBK" w:eastAsia="方正小标宋_GBK" w:cs="方正小标宋_GBK"/>
          <w:bCs/>
          <w:sz w:val="44"/>
          <w:szCs w:val="44"/>
          <w:highlight w:val="none"/>
        </w:rPr>
        <w:t>勐海</w:t>
      </w:r>
      <w:r>
        <w:rPr>
          <w:rFonts w:hint="eastAsia" w:ascii="方正小标宋_GBK" w:hAnsi="方正小标宋_GBK" w:eastAsia="方正小标宋_GBK" w:cs="方正小标宋_GBK"/>
          <w:bCs/>
          <w:color w:val="000000" w:themeColor="text1"/>
          <w:sz w:val="44"/>
          <w:szCs w:val="44"/>
          <w:highlight w:val="none"/>
          <w14:textFill>
            <w14:solidFill>
              <w14:schemeClr w14:val="tx1"/>
            </w14:solidFill>
          </w14:textFill>
        </w:rPr>
        <w:t>县县本级财政项目绩效评价报告</w:t>
      </w:r>
    </w:p>
    <w:p>
      <w:pPr>
        <w:framePr w:hSpace="180" w:wrap="around" w:vAnchor="text" w:hAnchor="margin" w:xAlign="center" w:y="165"/>
        <w:spacing w:line="700" w:lineRule="exact"/>
        <w:jc w:val="center"/>
        <w:rPr>
          <w:rFonts w:ascii="宋体" w:hAnsi="宋体" w:cs="仿宋_GB2312"/>
          <w:b/>
          <w:color w:val="000000" w:themeColor="text1"/>
          <w:spacing w:val="40"/>
          <w:sz w:val="44"/>
          <w:szCs w:val="44"/>
          <w:highlight w:val="none"/>
          <w14:textFill>
            <w14:solidFill>
              <w14:schemeClr w14:val="tx1"/>
            </w14:solidFill>
          </w14:textFill>
        </w:rPr>
      </w:pPr>
    </w:p>
    <w:p>
      <w:pPr>
        <w:framePr w:hSpace="180" w:wrap="around" w:vAnchor="text" w:hAnchor="margin" w:xAlign="center" w:y="165"/>
        <w:spacing w:line="700" w:lineRule="exact"/>
        <w:jc w:val="center"/>
        <w:rPr>
          <w:rFonts w:eastAsia="方正仿宋_GBK"/>
          <w:color w:val="000000" w:themeColor="text1"/>
          <w:kern w:val="0"/>
          <w:sz w:val="30"/>
          <w:szCs w:val="30"/>
          <w:highlight w:val="none"/>
          <w14:textFill>
            <w14:solidFill>
              <w14:schemeClr w14:val="tx1"/>
            </w14:solidFill>
          </w14:textFill>
        </w:rPr>
      </w:pPr>
      <w:r>
        <w:rPr>
          <w:rFonts w:eastAsia="方正仿宋_GBK"/>
          <w:color w:val="000000" w:themeColor="text1"/>
          <w:kern w:val="0"/>
          <w:sz w:val="30"/>
          <w:szCs w:val="30"/>
          <w:highlight w:val="none"/>
          <w14:textFill>
            <w14:solidFill>
              <w14:schemeClr w14:val="tx1"/>
            </w14:solidFill>
          </w14:textFill>
        </w:rPr>
        <w:t>云信立审字</w:t>
      </w:r>
      <w:r>
        <w:rPr>
          <w:rFonts w:hint="eastAsia" w:eastAsia="方正仿宋_GBK"/>
          <w:color w:val="000000" w:themeColor="text1"/>
          <w:kern w:val="0"/>
          <w:sz w:val="30"/>
          <w:szCs w:val="30"/>
          <w:highlight w:val="none"/>
          <w14:textFill>
            <w14:solidFill>
              <w14:schemeClr w14:val="tx1"/>
            </w14:solidFill>
          </w14:textFill>
        </w:rPr>
        <w:t>[2022]第</w:t>
      </w:r>
      <w:r>
        <w:rPr>
          <w:rFonts w:hint="eastAsia" w:eastAsia="方正仿宋_GBK"/>
          <w:color w:val="000000" w:themeColor="text1"/>
          <w:kern w:val="0"/>
          <w:sz w:val="30"/>
          <w:szCs w:val="30"/>
          <w:highlight w:val="none"/>
          <w:lang w:val="en-US" w:eastAsia="zh-CN"/>
          <w14:textFill>
            <w14:solidFill>
              <w14:schemeClr w14:val="tx1"/>
            </w14:solidFill>
          </w14:textFill>
        </w:rPr>
        <w:t>262</w:t>
      </w:r>
      <w:bookmarkStart w:id="19" w:name="_GoBack"/>
      <w:bookmarkEnd w:id="19"/>
      <w:r>
        <w:rPr>
          <w:rFonts w:hint="eastAsia" w:eastAsia="方正仿宋_GBK"/>
          <w:color w:val="000000" w:themeColor="text1"/>
          <w:kern w:val="0"/>
          <w:sz w:val="30"/>
          <w:szCs w:val="30"/>
          <w:highlight w:val="none"/>
          <w14:textFill>
            <w14:solidFill>
              <w14:schemeClr w14:val="tx1"/>
            </w14:solidFill>
          </w14:textFill>
        </w:rPr>
        <w:t>号</w:t>
      </w:r>
    </w:p>
    <w:p>
      <w:pPr>
        <w:framePr w:hSpace="180" w:wrap="around" w:vAnchor="text" w:hAnchor="margin" w:xAlign="center" w:y="165"/>
        <w:spacing w:line="700" w:lineRule="exact"/>
        <w:jc w:val="center"/>
        <w:rPr>
          <w:rFonts w:ascii="宋体" w:hAnsi="宋体" w:cs="仿宋_GB2312"/>
          <w:b/>
          <w:color w:val="000000" w:themeColor="text1"/>
          <w:spacing w:val="40"/>
          <w:sz w:val="44"/>
          <w:szCs w:val="44"/>
          <w:highlight w:val="none"/>
          <w14:textFill>
            <w14:solidFill>
              <w14:schemeClr w14:val="tx1"/>
            </w14:solidFill>
          </w14:textFill>
        </w:rPr>
      </w:pPr>
    </w:p>
    <w:p>
      <w:pPr>
        <w:framePr w:hSpace="180" w:wrap="around" w:vAnchor="text" w:hAnchor="margin" w:xAlign="center" w:y="165"/>
        <w:jc w:val="center"/>
        <w:rPr>
          <w:rFonts w:ascii="宋体" w:hAnsi="宋体" w:cs="仿宋_GB2312"/>
          <w:b/>
          <w:color w:val="000000" w:themeColor="text1"/>
          <w:sz w:val="44"/>
          <w:szCs w:val="44"/>
          <w:highlight w:val="none"/>
          <w14:textFill>
            <w14:solidFill>
              <w14:schemeClr w14:val="tx1"/>
            </w14:solidFill>
          </w14:textFill>
        </w:rPr>
      </w:pPr>
    </w:p>
    <w:p>
      <w:pPr>
        <w:framePr w:hSpace="180" w:wrap="around" w:vAnchor="text" w:hAnchor="margin" w:xAlign="center" w:y="165"/>
        <w:jc w:val="center"/>
        <w:rPr>
          <w:rFonts w:ascii="宋体" w:hAnsi="宋体" w:cs="仿宋_GB2312"/>
          <w:b/>
          <w:color w:val="000000" w:themeColor="text1"/>
          <w:sz w:val="44"/>
          <w:szCs w:val="44"/>
          <w:highlight w:val="none"/>
          <w14:textFill>
            <w14:solidFill>
              <w14:schemeClr w14:val="tx1"/>
            </w14:solidFill>
          </w14:textFill>
        </w:rPr>
      </w:pPr>
    </w:p>
    <w:p>
      <w:pPr>
        <w:framePr w:hSpace="180" w:wrap="around" w:vAnchor="text" w:hAnchor="margin" w:xAlign="center" w:y="165"/>
        <w:jc w:val="center"/>
        <w:rPr>
          <w:rFonts w:ascii="宋体" w:hAnsi="宋体" w:cs="仿宋_GB2312"/>
          <w:b/>
          <w:color w:val="000000" w:themeColor="text1"/>
          <w:sz w:val="44"/>
          <w:szCs w:val="44"/>
          <w:highlight w:val="none"/>
          <w14:textFill>
            <w14:solidFill>
              <w14:schemeClr w14:val="tx1"/>
            </w14:solidFill>
          </w14:textFill>
        </w:rPr>
      </w:pPr>
    </w:p>
    <w:p>
      <w:pPr>
        <w:framePr w:hSpace="180" w:wrap="around" w:vAnchor="text" w:hAnchor="margin" w:xAlign="center" w:y="165"/>
        <w:jc w:val="center"/>
        <w:rPr>
          <w:rFonts w:ascii="宋体" w:hAnsi="宋体" w:cs="仿宋_GB2312"/>
          <w:b/>
          <w:color w:val="000000" w:themeColor="text1"/>
          <w:sz w:val="44"/>
          <w:szCs w:val="44"/>
          <w:highlight w:val="none"/>
          <w14:textFill>
            <w14:solidFill>
              <w14:schemeClr w14:val="tx1"/>
            </w14:solidFill>
          </w14:textFill>
        </w:rPr>
      </w:pPr>
    </w:p>
    <w:p>
      <w:pPr>
        <w:framePr w:hSpace="180" w:wrap="around" w:vAnchor="text" w:hAnchor="margin" w:xAlign="center" w:y="165"/>
        <w:jc w:val="center"/>
        <w:rPr>
          <w:rFonts w:ascii="宋体" w:hAnsi="宋体" w:cs="仿宋_GB2312"/>
          <w:b/>
          <w:color w:val="000000" w:themeColor="text1"/>
          <w:sz w:val="44"/>
          <w:szCs w:val="44"/>
          <w:highlight w:val="none"/>
          <w14:textFill>
            <w14:solidFill>
              <w14:schemeClr w14:val="tx1"/>
            </w14:solidFill>
          </w14:textFill>
        </w:rPr>
      </w:pPr>
    </w:p>
    <w:p>
      <w:pPr>
        <w:framePr w:hSpace="180" w:wrap="around" w:vAnchor="text" w:hAnchor="margin" w:xAlign="center" w:y="165"/>
        <w:jc w:val="center"/>
        <w:rPr>
          <w:rFonts w:ascii="宋体" w:hAnsi="宋体" w:cs="仿宋_GB2312"/>
          <w:b/>
          <w:color w:val="000000" w:themeColor="text1"/>
          <w:sz w:val="44"/>
          <w:szCs w:val="44"/>
          <w:highlight w:val="none"/>
          <w14:textFill>
            <w14:solidFill>
              <w14:schemeClr w14:val="tx1"/>
            </w14:solidFill>
          </w14:textFill>
        </w:rPr>
      </w:pPr>
    </w:p>
    <w:p>
      <w:pPr>
        <w:framePr w:hSpace="180" w:wrap="around" w:vAnchor="text" w:hAnchor="margin" w:xAlign="center" w:y="165"/>
        <w:jc w:val="center"/>
        <w:rPr>
          <w:rFonts w:ascii="仿宋" w:hAnsi="仿宋" w:eastAsia="仿宋"/>
          <w:b/>
          <w:color w:val="000000" w:themeColor="text1"/>
          <w:sz w:val="30"/>
          <w:szCs w:val="32"/>
          <w:highlight w:val="none"/>
          <w14:textFill>
            <w14:solidFill>
              <w14:schemeClr w14:val="tx1"/>
            </w14:solidFill>
          </w14:textFill>
        </w:rPr>
      </w:pPr>
    </w:p>
    <w:p>
      <w:pPr>
        <w:framePr w:hSpace="180" w:wrap="around" w:vAnchor="text" w:hAnchor="margin" w:xAlign="center" w:y="165"/>
        <w:spacing w:line="800" w:lineRule="exact"/>
        <w:ind w:left="798" w:leftChars="304" w:hanging="160" w:hangingChars="50"/>
        <w:rPr>
          <w:rFonts w:eastAsia="方正仿宋_GBK"/>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kern w:val="0"/>
          <w:sz w:val="32"/>
          <w:szCs w:val="32"/>
          <w:highlight w:val="none"/>
          <w14:textFill>
            <w14:solidFill>
              <w14:schemeClr w14:val="tx1"/>
            </w14:solidFill>
          </w14:textFill>
        </w:rPr>
        <w:t xml:space="preserve"> </w:t>
      </w:r>
      <w:r>
        <w:rPr>
          <w:rFonts w:eastAsia="方正仿宋_GBK"/>
          <w:color w:val="000000" w:themeColor="text1"/>
          <w:kern w:val="0"/>
          <w:sz w:val="32"/>
          <w:szCs w:val="32"/>
          <w:highlight w:val="none"/>
          <w14:textFill>
            <w14:solidFill>
              <w14:schemeClr w14:val="tx1"/>
            </w14:solidFill>
          </w14:textFill>
        </w:rPr>
        <w:t>项目名称：</w:t>
      </w:r>
      <w:r>
        <w:rPr>
          <w:rFonts w:hint="eastAsia" w:eastAsia="方正仿宋_GBK"/>
          <w:color w:val="000000" w:themeColor="text1"/>
          <w:kern w:val="0"/>
          <w:sz w:val="32"/>
          <w:szCs w:val="32"/>
          <w:highlight w:val="none"/>
          <w14:textFill>
            <w14:solidFill>
              <w14:schemeClr w14:val="tx1"/>
            </w14:solidFill>
          </w14:textFill>
        </w:rPr>
        <w:t>国有企业退休人员社会化管理县级财政补助资金项目</w:t>
      </w:r>
      <w:r>
        <w:rPr>
          <w:rFonts w:hint="eastAsia" w:eastAsia="方正仿宋_GBK"/>
          <w:bCs/>
          <w:color w:val="000000" w:themeColor="text1"/>
          <w:sz w:val="32"/>
          <w:szCs w:val="32"/>
          <w:highlight w:val="none"/>
          <w14:textFill>
            <w14:solidFill>
              <w14:schemeClr w14:val="tx1"/>
            </w14:solidFill>
          </w14:textFill>
        </w:rPr>
        <w:t>绩效评价</w:t>
      </w:r>
    </w:p>
    <w:p>
      <w:pPr>
        <w:framePr w:hSpace="180" w:wrap="around" w:vAnchor="text" w:hAnchor="margin" w:xAlign="center" w:y="165"/>
        <w:spacing w:line="800" w:lineRule="atLeast"/>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 xml:space="preserve">     项目单位：</w:t>
      </w:r>
      <w:r>
        <w:rPr>
          <w:rFonts w:hint="eastAsia" w:eastAsia="方正仿宋_GBK"/>
          <w:bCs/>
          <w:color w:val="000000" w:themeColor="text1"/>
          <w:sz w:val="32"/>
          <w:szCs w:val="32"/>
          <w:highlight w:val="none"/>
          <w14:textFill>
            <w14:solidFill>
              <w14:schemeClr w14:val="tx1"/>
            </w14:solidFill>
          </w14:textFill>
        </w:rPr>
        <w:t>中共勐海县委党史研究室</w:t>
      </w:r>
    </w:p>
    <w:p>
      <w:pPr>
        <w:framePr w:hSpace="180" w:wrap="around" w:vAnchor="text" w:hAnchor="margin" w:xAlign="center" w:y="165"/>
        <w:spacing w:line="800" w:lineRule="atLeast"/>
        <w:rPr>
          <w:rFonts w:eastAsia="方正仿宋_GBK"/>
          <w:bCs/>
          <w:color w:val="000000" w:themeColor="text1"/>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 xml:space="preserve">     主管部门：</w:t>
      </w:r>
      <w:r>
        <w:rPr>
          <w:rFonts w:hint="eastAsia" w:eastAsia="方正仿宋_GBK"/>
          <w:bCs/>
          <w:color w:val="000000" w:themeColor="text1"/>
          <w:sz w:val="32"/>
          <w:szCs w:val="32"/>
          <w:highlight w:val="none"/>
          <w14:textFill>
            <w14:solidFill>
              <w14:schemeClr w14:val="tx1"/>
            </w14:solidFill>
          </w14:textFill>
        </w:rPr>
        <w:t>中共勐海县委党史研究室</w:t>
      </w:r>
    </w:p>
    <w:p>
      <w:pPr>
        <w:framePr w:hSpace="180" w:wrap="around" w:vAnchor="text" w:hAnchor="margin" w:xAlign="center" w:y="165"/>
        <w:spacing w:line="800" w:lineRule="atLeast"/>
        <w:rPr>
          <w:rFonts w:eastAsia="方正仿宋_GBK"/>
          <w:color w:val="000000" w:themeColor="text1"/>
          <w:kern w:val="0"/>
          <w:sz w:val="32"/>
          <w:szCs w:val="32"/>
          <w:highlight w:val="none"/>
          <w14:textFill>
            <w14:solidFill>
              <w14:schemeClr w14:val="tx1"/>
            </w14:solidFill>
          </w14:textFill>
        </w:rPr>
      </w:pPr>
      <w:r>
        <w:rPr>
          <w:rFonts w:eastAsia="方正仿宋_GBK"/>
          <w:bCs/>
          <w:color w:val="000000" w:themeColor="text1"/>
          <w:sz w:val="32"/>
          <w:szCs w:val="32"/>
          <w:highlight w:val="none"/>
          <w14:textFill>
            <w14:solidFill>
              <w14:schemeClr w14:val="tx1"/>
            </w14:solidFill>
          </w14:textFill>
        </w:rPr>
        <w:t xml:space="preserve">   </w:t>
      </w:r>
      <w:r>
        <w:rPr>
          <w:rFonts w:hint="eastAsia" w:eastAsia="方正仿宋_GBK"/>
          <w:bCs/>
          <w:color w:val="000000" w:themeColor="text1"/>
          <w:sz w:val="32"/>
          <w:szCs w:val="32"/>
          <w:highlight w:val="none"/>
          <w14:textFill>
            <w14:solidFill>
              <w14:schemeClr w14:val="tx1"/>
            </w14:solidFill>
          </w14:textFill>
        </w:rPr>
        <w:t xml:space="preserve"> </w:t>
      </w:r>
      <w:r>
        <w:rPr>
          <w:rFonts w:eastAsia="方正仿宋_GBK"/>
          <w:bCs/>
          <w:color w:val="000000" w:themeColor="text1"/>
          <w:sz w:val="32"/>
          <w:szCs w:val="32"/>
          <w:highlight w:val="none"/>
          <w14:textFill>
            <w14:solidFill>
              <w14:schemeClr w14:val="tx1"/>
            </w14:solidFill>
          </w14:textFill>
        </w:rPr>
        <w:t xml:space="preserve"> 评价机构：</w:t>
      </w:r>
      <w:r>
        <w:rPr>
          <w:rFonts w:hint="eastAsia" w:eastAsia="方正仿宋_GBK"/>
          <w:bCs/>
          <w:color w:val="000000" w:themeColor="text1"/>
          <w:sz w:val="32"/>
          <w:szCs w:val="32"/>
          <w:highlight w:val="none"/>
          <w14:textFill>
            <w14:solidFill>
              <w14:schemeClr w14:val="tx1"/>
            </w14:solidFill>
          </w14:textFill>
        </w:rPr>
        <w:t>云南信立</w:t>
      </w:r>
      <w:r>
        <w:rPr>
          <w:rFonts w:eastAsia="方正仿宋_GBK"/>
          <w:bCs/>
          <w:color w:val="000000" w:themeColor="text1"/>
          <w:sz w:val="32"/>
          <w:szCs w:val="32"/>
          <w:highlight w:val="none"/>
          <w14:textFill>
            <w14:solidFill>
              <w14:schemeClr w14:val="tx1"/>
            </w14:solidFill>
          </w14:textFill>
        </w:rPr>
        <w:t>会计师事务所有限公司</w:t>
      </w:r>
    </w:p>
    <w:p>
      <w:pPr>
        <w:framePr w:hSpace="180" w:wrap="around" w:vAnchor="text" w:hAnchor="margin" w:xAlign="center" w:y="165"/>
        <w:rPr>
          <w:rFonts w:eastAsia="方正仿宋_GBK"/>
          <w:color w:val="000000" w:themeColor="text1"/>
          <w:kern w:val="0"/>
          <w:sz w:val="32"/>
          <w:szCs w:val="32"/>
          <w:highlight w:val="none"/>
          <w14:textFill>
            <w14:solidFill>
              <w14:schemeClr w14:val="tx1"/>
            </w14:solidFill>
          </w14:textFill>
        </w:rPr>
      </w:pPr>
    </w:p>
    <w:p>
      <w:pPr>
        <w:spacing w:line="20" w:lineRule="atLeast"/>
        <w:jc w:val="center"/>
        <w:rPr>
          <w:rFonts w:eastAsia="方正仿宋_GBK"/>
          <w:color w:val="000000" w:themeColor="text1"/>
          <w:kern w:val="0"/>
          <w:sz w:val="32"/>
          <w:szCs w:val="32"/>
          <w:highlight w:val="none"/>
          <w14:textFill>
            <w14:solidFill>
              <w14:schemeClr w14:val="tx1"/>
            </w14:solidFill>
          </w14:textFill>
        </w:rPr>
        <w:sectPr>
          <w:headerReference r:id="rId3" w:type="default"/>
          <w:footerReference r:id="rId4" w:type="default"/>
          <w:pgSz w:w="11906" w:h="16838"/>
          <w:pgMar w:top="1418" w:right="1474" w:bottom="1418" w:left="1531" w:header="851" w:footer="992" w:gutter="0"/>
          <w:pgNumType w:fmt="numberInDash" w:chapStyle="1"/>
          <w:cols w:space="720" w:num="1"/>
          <w:docGrid w:type="linesAndChars" w:linePitch="312" w:charSpace="0"/>
        </w:sectPr>
      </w:pPr>
      <w:r>
        <w:rPr>
          <w:rFonts w:eastAsia="方正仿宋_GBK"/>
          <w:color w:val="000000" w:themeColor="text1"/>
          <w:kern w:val="0"/>
          <w:sz w:val="32"/>
          <w:szCs w:val="32"/>
          <w:highlight w:val="none"/>
          <w14:textFill>
            <w14:solidFill>
              <w14:schemeClr w14:val="tx1"/>
            </w14:solidFill>
          </w14:textFill>
        </w:rPr>
        <w:t>报告日期：20</w:t>
      </w:r>
      <w:r>
        <w:rPr>
          <w:rFonts w:hint="eastAsia" w:eastAsia="方正仿宋_GBK"/>
          <w:color w:val="000000" w:themeColor="text1"/>
          <w:kern w:val="0"/>
          <w:sz w:val="32"/>
          <w:szCs w:val="32"/>
          <w:highlight w:val="none"/>
          <w14:textFill>
            <w14:solidFill>
              <w14:schemeClr w14:val="tx1"/>
            </w14:solidFill>
          </w14:textFill>
        </w:rPr>
        <w:t>22</w:t>
      </w:r>
      <w:r>
        <w:rPr>
          <w:rFonts w:eastAsia="方正仿宋_GBK"/>
          <w:color w:val="000000" w:themeColor="text1"/>
          <w:kern w:val="0"/>
          <w:sz w:val="32"/>
          <w:szCs w:val="32"/>
          <w:highlight w:val="none"/>
          <w14:textFill>
            <w14:solidFill>
              <w14:schemeClr w14:val="tx1"/>
            </w14:solidFill>
          </w14:textFill>
        </w:rPr>
        <w:t>年</w:t>
      </w:r>
      <w:r>
        <w:rPr>
          <w:rFonts w:hint="eastAsia" w:eastAsia="方正仿宋_GBK"/>
          <w:color w:val="000000" w:themeColor="text1"/>
          <w:kern w:val="0"/>
          <w:sz w:val="32"/>
          <w:szCs w:val="32"/>
          <w:highlight w:val="none"/>
          <w:lang w:val="en-US" w:eastAsia="zh-CN"/>
          <w14:textFill>
            <w14:solidFill>
              <w14:schemeClr w14:val="tx1"/>
            </w14:solidFill>
          </w14:textFill>
        </w:rPr>
        <w:t>11</w:t>
      </w:r>
      <w:r>
        <w:rPr>
          <w:rFonts w:eastAsia="方正仿宋_GBK"/>
          <w:color w:val="000000" w:themeColor="text1"/>
          <w:kern w:val="0"/>
          <w:sz w:val="32"/>
          <w:szCs w:val="32"/>
          <w:highlight w:val="none"/>
          <w14:textFill>
            <w14:solidFill>
              <w14:schemeClr w14:val="tx1"/>
            </w14:solidFill>
          </w14:textFill>
        </w:rPr>
        <w:t>月</w:t>
      </w:r>
      <w:r>
        <w:rPr>
          <w:rFonts w:hint="eastAsia" w:eastAsia="方正仿宋_GBK"/>
          <w:color w:val="000000" w:themeColor="text1"/>
          <w:kern w:val="0"/>
          <w:sz w:val="32"/>
          <w:szCs w:val="32"/>
          <w:highlight w:val="none"/>
          <w:lang w:val="en-US" w:eastAsia="zh-CN"/>
          <w14:textFill>
            <w14:solidFill>
              <w14:schemeClr w14:val="tx1"/>
            </w14:solidFill>
          </w14:textFill>
        </w:rPr>
        <w:t>10</w:t>
      </w:r>
      <w:r>
        <w:rPr>
          <w:rFonts w:hint="eastAsia" w:eastAsia="方正仿宋_GBK"/>
          <w:color w:val="000000" w:themeColor="text1"/>
          <w:kern w:val="0"/>
          <w:sz w:val="32"/>
          <w:szCs w:val="32"/>
          <w:highlight w:val="none"/>
          <w14:textFill>
            <w14:solidFill>
              <w14:schemeClr w14:val="tx1"/>
            </w14:solidFill>
          </w14:textFill>
        </w:rPr>
        <w:t>日</w:t>
      </w:r>
    </w:p>
    <w:p>
      <w:pPr>
        <w:spacing w:line="360" w:lineRule="auto"/>
        <w:jc w:val="center"/>
        <w:rPr>
          <w:rFonts w:ascii="方正仿宋_GBK" w:hAnsi="方正仿宋_GBK" w:eastAsia="方正仿宋_GBK" w:cs="方正仿宋_GBK"/>
          <w:b/>
          <w:color w:val="000000" w:themeColor="text1"/>
          <w:sz w:val="36"/>
          <w:szCs w:val="36"/>
          <w:highlight w:val="none"/>
          <w14:textFill>
            <w14:solidFill>
              <w14:schemeClr w14:val="tx1"/>
            </w14:solidFill>
          </w14:textFill>
        </w:rPr>
      </w:pPr>
      <w:r>
        <w:rPr>
          <w:rFonts w:hint="eastAsia" w:ascii="方正仿宋_GBK" w:hAnsi="方正仿宋_GBK" w:eastAsia="方正仿宋_GBK" w:cs="方正仿宋_GBK"/>
          <w:b/>
          <w:color w:val="000000" w:themeColor="text1"/>
          <w:sz w:val="36"/>
          <w:szCs w:val="36"/>
          <w:highlight w:val="none"/>
          <w14:textFill>
            <w14:solidFill>
              <w14:schemeClr w14:val="tx1"/>
            </w14:solidFill>
          </w14:textFill>
        </w:rPr>
        <w:t>目       录</w:t>
      </w:r>
    </w:p>
    <w:p>
      <w:pPr>
        <w:pStyle w:val="15"/>
        <w:jc w:val="both"/>
        <w:rPr>
          <w:rFonts w:ascii="仿宋_GB2312" w:hAnsi="方正仿宋_GBK" w:eastAsia="仿宋_GB2312" w:cs="方正仿宋_GBK"/>
          <w:color w:val="000000" w:themeColor="text1"/>
          <w:highlight w:val="none"/>
          <w14:textFill>
            <w14:solidFill>
              <w14:schemeClr w14:val="tx1"/>
            </w14:solidFill>
          </w14:textFill>
        </w:rPr>
      </w:pPr>
    </w:p>
    <w:p>
      <w:pPr>
        <w:pStyle w:val="15"/>
        <w:keepNext w:val="0"/>
        <w:keepLines w:val="0"/>
        <w:pageBreakBefore w:val="0"/>
        <w:widowControl w:val="0"/>
        <w:tabs>
          <w:tab w:val="right" w:leader="dot" w:pos="8958"/>
          <w:tab w:val="clear" w:pos="8931"/>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sz w:val="28"/>
          <w:szCs w:val="28"/>
          <w:highlight w:val="none"/>
        </w:rPr>
        <w:instrText xml:space="preserve"> HYPERLINK \l _Toc1208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一、项目基本情况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_Toc1208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_Toc8884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rPr>
        <w:t>（一）项目概况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_Toc8884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_Toc19844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（二）项目绩效目标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_Toc19844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5"/>
        <w:keepNext w:val="0"/>
        <w:keepLines w:val="0"/>
        <w:pageBreakBefore w:val="0"/>
        <w:widowControl w:val="0"/>
        <w:tabs>
          <w:tab w:val="right" w:leader="dot" w:pos="8958"/>
          <w:tab w:val="clear" w:pos="8931"/>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sz w:val="28"/>
          <w:szCs w:val="28"/>
          <w:highlight w:val="none"/>
        </w:rPr>
        <w:instrText xml:space="preserve"> HYPERLINK \l _Toc17469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二、绩效评价工作情况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_Toc17469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_Toc10823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rPr>
        <w:t>（一）绩效评价目的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_Toc10823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_Toc19059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rPr>
        <w:t>（二）绩效评价设计过程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_Toc19059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_Toc8260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（三）绩效评价原则、评价指标体系、绩效标准和评价方法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_Toc8260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_Toc13382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（四）证据收集方法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_Toc13382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_Toc20109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（五）绩效评价实施过程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_Toc20109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5"/>
        <w:keepNext w:val="0"/>
        <w:keepLines w:val="0"/>
        <w:pageBreakBefore w:val="0"/>
        <w:widowControl w:val="0"/>
        <w:tabs>
          <w:tab w:val="right" w:leader="dot" w:pos="8958"/>
          <w:tab w:val="clear" w:pos="8931"/>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sz w:val="28"/>
          <w:szCs w:val="28"/>
          <w:highlight w:val="none"/>
        </w:rPr>
        <w:instrText xml:space="preserve"> HYPERLINK \l _Toc30910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2"/>
          <w:sz w:val="28"/>
          <w:szCs w:val="28"/>
          <w:highlight w:val="none"/>
        </w:rPr>
        <w:t>三、绩效分析及评价结论</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_Toc30910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7</w:t>
      </w:r>
      <w:r>
        <w:rPr>
          <w:rFonts w:hint="eastAsia" w:ascii="仿宋" w:hAnsi="仿宋" w:eastAsia="仿宋" w:cs="仿宋"/>
          <w:b/>
          <w:bCs/>
          <w:sz w:val="28"/>
          <w:szCs w:val="28"/>
          <w:highlight w:val="none"/>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_Toc23373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（一）绩效分析</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_Toc23373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_Toc27566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（二）评价结论</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_Toc27566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5"/>
        <w:keepNext w:val="0"/>
        <w:keepLines w:val="0"/>
        <w:pageBreakBefore w:val="0"/>
        <w:widowControl w:val="0"/>
        <w:tabs>
          <w:tab w:val="right" w:leader="dot" w:pos="8958"/>
          <w:tab w:val="clear" w:pos="8931"/>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sz w:val="28"/>
          <w:szCs w:val="28"/>
          <w:highlight w:val="none"/>
        </w:rPr>
        <w:instrText xml:space="preserve"> HYPERLINK \l _Toc16396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四、主要经验及做法</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_Toc16396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13</w:t>
      </w:r>
      <w:r>
        <w:rPr>
          <w:rFonts w:hint="eastAsia" w:ascii="仿宋" w:hAnsi="仿宋" w:eastAsia="仿宋" w:cs="仿宋"/>
          <w:b/>
          <w:bCs/>
          <w:sz w:val="28"/>
          <w:szCs w:val="28"/>
          <w:highlight w:val="none"/>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5"/>
        <w:keepNext w:val="0"/>
        <w:keepLines w:val="0"/>
        <w:pageBreakBefore w:val="0"/>
        <w:widowControl w:val="0"/>
        <w:tabs>
          <w:tab w:val="right" w:leader="dot" w:pos="8958"/>
          <w:tab w:val="clear" w:pos="8931"/>
        </w:tabs>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sz w:val="28"/>
          <w:szCs w:val="28"/>
          <w:highlight w:val="none"/>
        </w:rPr>
        <w:instrText xml:space="preserve"> HYPERLINK \l _Toc26976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五、存在的问题和建议</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_Toc26976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14</w:t>
      </w:r>
      <w:r>
        <w:rPr>
          <w:rFonts w:hint="eastAsia" w:ascii="仿宋" w:hAnsi="仿宋" w:eastAsia="仿宋" w:cs="仿宋"/>
          <w:b/>
          <w:bCs/>
          <w:sz w:val="28"/>
          <w:szCs w:val="28"/>
          <w:highlight w:val="none"/>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_Toc5453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（一）存在的问题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_Toc5453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6"/>
        <w:keepNext w:val="0"/>
        <w:keepLines w:val="0"/>
        <w:pageBreakBefore w:val="0"/>
        <w:widowControl w:val="0"/>
        <w:tabs>
          <w:tab w:val="right" w:leader="dot" w:pos="8958"/>
          <w:tab w:val="clear" w:pos="894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sz w:val="28"/>
          <w:szCs w:val="28"/>
          <w:highlight w:val="none"/>
        </w:rPr>
        <w:instrText xml:space="preserve"> HYPERLINK \l _Toc2106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（二）建议和改进举措</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_Toc2106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cs="宋体"/>
          <w:b/>
          <w:color w:val="000000" w:themeColor="text1"/>
          <w:kern w:val="0"/>
          <w:sz w:val="28"/>
          <w:szCs w:val="28"/>
          <w:highlight w:val="none"/>
          <w14:textFill>
            <w14:solidFill>
              <w14:schemeClr w14:val="tx1"/>
            </w14:solidFill>
          </w14:textFill>
        </w:rPr>
        <w:sectPr>
          <w:footerReference r:id="rId5" w:type="default"/>
          <w:pgSz w:w="11906" w:h="16838"/>
          <w:pgMar w:top="1361" w:right="1474" w:bottom="1559" w:left="1474" w:header="851" w:footer="1157" w:gutter="0"/>
          <w:pgNumType w:start="1"/>
          <w:cols w:space="425" w:num="1"/>
          <w:docGrid w:type="lines" w:linePitch="312" w:charSpace="0"/>
        </w:sectPr>
      </w:pP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spacing w:line="800" w:lineRule="exact"/>
        <w:jc w:val="center"/>
        <w:rPr>
          <w:rFonts w:hint="eastAsia" w:cs="方正小标宋_GBK" w:asciiTheme="minorEastAsia" w:hAnsiTheme="minorEastAsia" w:eastAsiaTheme="minorEastAsia"/>
          <w:b/>
          <w:bCs/>
          <w:color w:val="000000" w:themeColor="text1"/>
          <w:kern w:val="0"/>
          <w:sz w:val="44"/>
          <w:szCs w:val="44"/>
          <w:highlight w:val="none"/>
          <w:lang w:val="en-US" w:eastAsia="zh-CN"/>
          <w14:textFill>
            <w14:solidFill>
              <w14:schemeClr w14:val="tx1"/>
            </w14:solidFill>
          </w14:textFill>
        </w:rPr>
      </w:pPr>
      <w:r>
        <w:rPr>
          <w:rFonts w:hint="eastAsia" w:cs="方正小标宋_GBK" w:asciiTheme="minorEastAsia" w:hAnsiTheme="minorEastAsia" w:eastAsiaTheme="minorEastAsia"/>
          <w:b/>
          <w:bCs/>
          <w:color w:val="000000" w:themeColor="text1"/>
          <w:kern w:val="0"/>
          <w:sz w:val="44"/>
          <w:szCs w:val="44"/>
          <w:highlight w:val="none"/>
          <w14:textFill>
            <w14:solidFill>
              <w14:schemeClr w14:val="tx1"/>
            </w14:solidFill>
          </w14:textFill>
        </w:rPr>
        <w:t>国有企业退休人员社会化管理县级财政补助资金项目绩效评价报告</w:t>
      </w:r>
      <w:r>
        <w:rPr>
          <w:rFonts w:hint="eastAsia" w:cs="方正小标宋_GBK" w:asciiTheme="minorEastAsia" w:hAnsiTheme="minorEastAsia" w:eastAsiaTheme="minorEastAsia"/>
          <w:b/>
          <w:bCs/>
          <w:color w:val="000000" w:themeColor="text1"/>
          <w:kern w:val="0"/>
          <w:sz w:val="44"/>
          <w:szCs w:val="44"/>
          <w:highlight w:val="none"/>
          <w:lang w:eastAsia="zh-CN"/>
          <w14:textFill>
            <w14:solidFill>
              <w14:schemeClr w14:val="tx1"/>
            </w14:solidFill>
          </w14:textFill>
        </w:rPr>
        <w:t>（</w:t>
      </w:r>
      <w:r>
        <w:rPr>
          <w:rFonts w:hint="eastAsia" w:cs="方正小标宋_GBK" w:asciiTheme="minorEastAsia" w:hAnsiTheme="minorEastAsia" w:eastAsiaTheme="minorEastAsia"/>
          <w:b/>
          <w:bCs/>
          <w:color w:val="000000" w:themeColor="text1"/>
          <w:kern w:val="0"/>
          <w:sz w:val="44"/>
          <w:szCs w:val="44"/>
          <w:highlight w:val="none"/>
          <w:lang w:val="en-US" w:eastAsia="zh-CN"/>
          <w14:textFill>
            <w14:solidFill>
              <w14:schemeClr w14:val="tx1"/>
            </w14:solidFill>
          </w14:textFill>
        </w:rPr>
        <w:t>征求意见稿</w:t>
      </w:r>
      <w:r>
        <w:rPr>
          <w:rFonts w:hint="eastAsia" w:cs="方正小标宋_GBK" w:asciiTheme="minorEastAsia" w:hAnsiTheme="minorEastAsia" w:eastAsiaTheme="minorEastAsia"/>
          <w:b/>
          <w:bCs/>
          <w:color w:val="000000" w:themeColor="text1"/>
          <w:kern w:val="0"/>
          <w:sz w:val="44"/>
          <w:szCs w:val="44"/>
          <w:highlight w:val="none"/>
          <w:lang w:eastAsia="zh-CN"/>
          <w14:textFill>
            <w14:solidFill>
              <w14:schemeClr w14:val="tx1"/>
            </w14:solidFill>
          </w14:textFill>
        </w:rPr>
        <w:t>）</w:t>
      </w:r>
    </w:p>
    <w:p>
      <w:pPr>
        <w:spacing w:line="360" w:lineRule="auto"/>
        <w:ind w:firstLine="563" w:firstLineChars="200"/>
        <w:jc w:val="center"/>
        <w:rPr>
          <w:rStyle w:val="46"/>
          <w:rFonts w:hint="default" w:ascii="方正小标宋_GBK" w:hAnsi="方正小标宋_GBK" w:eastAsia="方正小标宋_GBK" w:cs="方正小标宋_GBK"/>
          <w:b/>
          <w:color w:val="000000" w:themeColor="text1"/>
          <w:spacing w:val="-20"/>
          <w:szCs w:val="32"/>
          <w:highlight w:val="none"/>
          <w14:textFill>
            <w14:solidFill>
              <w14:schemeClr w14:val="tx1"/>
            </w14:solidFill>
          </w14:textFill>
        </w:rPr>
      </w:pP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根据《中华人民共和国预算法》规定，按照勐海县财政局关于《勐海县项目支出绩效评价管理实施办法》（海财会监绩字〔2021〕2号）的通知、《勐海县财政局开展2021年度财政评价的通知》（海财会监绩字〔2022〕31号）的要求，2022年9月1日至10月31日，受勐海县财政局委托，云南信立会计师事务所有限公司对中共勐海县委党史研究室</w:t>
      </w:r>
      <w:r>
        <w:rPr>
          <w:rFonts w:hint="eastAsia" w:ascii="仿宋_GB2312" w:hAnsi="仿宋" w:eastAsia="仿宋_GB2312"/>
          <w:color w:val="000000"/>
          <w:sz w:val="32"/>
          <w:szCs w:val="32"/>
          <w:highlight w:val="none"/>
        </w:rPr>
        <w:t>负责组织实施的国有企业退休人员社会化管理县级财政补助资金项目支出</w:t>
      </w:r>
      <w:r>
        <w:rPr>
          <w:rFonts w:ascii="仿宋_GB2312" w:hAnsi="仿宋" w:eastAsia="仿宋_GB2312"/>
          <w:color w:val="000000"/>
          <w:sz w:val="32"/>
          <w:szCs w:val="32"/>
          <w:highlight w:val="none"/>
        </w:rPr>
        <w:t>的绩效进行评价</w:t>
      </w:r>
      <w:r>
        <w:rPr>
          <w:rStyle w:val="46"/>
          <w:rFonts w:hint="default" w:hAnsi="Mongolian Baiti" w:cs="Mongolian Baiti"/>
          <w:color w:val="000000" w:themeColor="text1"/>
          <w:highlight w:val="none"/>
          <w14:textFill>
            <w14:solidFill>
              <w14:schemeClr w14:val="tx1"/>
            </w14:solidFill>
          </w14:textFill>
        </w:rPr>
        <w:t>。现将评价过程及结果报告如下：</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ascii="仿宋_GB2312" w:hAnsi="方正黑体_GBK" w:eastAsia="仿宋_GB2312" w:cs="方正黑体_GBK"/>
          <w:b w:val="0"/>
          <w:color w:val="000000" w:themeColor="text1"/>
          <w:sz w:val="32"/>
          <w:szCs w:val="32"/>
          <w:highlight w:val="none"/>
          <w:lang w:val="zh-CN"/>
          <w14:textFill>
            <w14:solidFill>
              <w14:schemeClr w14:val="tx1"/>
            </w14:solidFill>
          </w14:textFill>
        </w:rPr>
      </w:pPr>
      <w:bookmarkStart w:id="0" w:name="_Toc1208"/>
      <w:r>
        <w:rPr>
          <w:rFonts w:hint="eastAsia" w:ascii="黑体" w:hAnsi="黑体" w:eastAsia="黑体"/>
          <w:b w:val="0"/>
          <w:color w:val="000000" w:themeColor="text1"/>
          <w:sz w:val="32"/>
          <w:szCs w:val="32"/>
          <w:highlight w:val="none"/>
          <w14:textFill>
            <w14:solidFill>
              <w14:schemeClr w14:val="tx1"/>
            </w14:solidFill>
          </w14:textFill>
        </w:rPr>
        <w:t>一、项目基本情况</w:t>
      </w:r>
      <w:bookmarkEnd w:id="0"/>
    </w:p>
    <w:p>
      <w:pPr>
        <w:pStyle w:val="5"/>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仿宋_GB2312" w:hAnsi="方正楷体_GBK" w:eastAsia="仿宋_GB2312" w:cs="方正楷体_GBK"/>
          <w:bCs w:val="0"/>
          <w:color w:val="000000" w:themeColor="text1"/>
          <w:highlight w:val="none"/>
          <w:lang w:val="zh-CN"/>
          <w14:textFill>
            <w14:solidFill>
              <w14:schemeClr w14:val="tx1"/>
            </w14:solidFill>
          </w14:textFill>
        </w:rPr>
      </w:pPr>
      <w:bookmarkStart w:id="1" w:name="_Toc8884"/>
      <w:r>
        <w:rPr>
          <w:rFonts w:hint="eastAsia" w:ascii="楷体_GB2312" w:eastAsia="楷体_GB2312" w:cs="Times New Roman"/>
          <w:bCs w:val="0"/>
          <w:color w:val="000000" w:themeColor="text1"/>
          <w:highlight w:val="none"/>
          <w14:textFill>
            <w14:solidFill>
              <w14:schemeClr w14:val="tx1"/>
            </w14:solidFill>
          </w14:textFill>
        </w:rPr>
        <w:t>（一）项目概况</w:t>
      </w:r>
      <w:bookmarkEnd w:id="1"/>
    </w:p>
    <w:p>
      <w:pPr>
        <w:spacing w:line="360" w:lineRule="auto"/>
        <w:ind w:firstLine="640" w:firstLineChars="200"/>
        <w:rPr>
          <w:rStyle w:val="46"/>
          <w:rFonts w:hint="default" w:hAnsi="Mongolian Baiti" w:cs="Mongolian Baiti"/>
          <w:bCs/>
          <w:color w:val="000000" w:themeColor="text1"/>
          <w:highlight w:val="none"/>
          <w14:textFill>
            <w14:solidFill>
              <w14:schemeClr w14:val="tx1"/>
            </w14:solidFill>
          </w14:textFill>
        </w:rPr>
      </w:pPr>
      <w:r>
        <w:rPr>
          <w:rStyle w:val="46"/>
          <w:rFonts w:hint="default" w:hAnsi="Mongolian Baiti" w:cs="Mongolian Baiti"/>
          <w:bCs/>
          <w:color w:val="000000" w:themeColor="text1"/>
          <w:highlight w:val="none"/>
          <w14:textFill>
            <w14:solidFill>
              <w14:schemeClr w14:val="tx1"/>
            </w14:solidFill>
          </w14:textFill>
        </w:rPr>
        <w:t>1.项目立项背景</w:t>
      </w:r>
    </w:p>
    <w:p>
      <w:pPr>
        <w:widowControl/>
        <w:spacing w:line="360" w:lineRule="auto"/>
        <w:ind w:firstLine="640" w:firstLineChars="200"/>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根据云南省财政厅 云南省国资委《关于支持地方做好国有企业退休人员社会化管理工作的通知》（云财资〔2020〕77号）等文件，</w:t>
      </w:r>
      <w:r>
        <w:rPr>
          <w:rFonts w:hint="eastAsia" w:ascii="仿宋_GB2312" w:hAnsi="仿宋" w:eastAsia="仿宋_GB2312"/>
          <w:color w:val="000000"/>
          <w:sz w:val="32"/>
          <w:szCs w:val="32"/>
          <w:highlight w:val="none"/>
        </w:rPr>
        <w:t>为解决国有企业退休人员档案收存的问题，推动国有企业退休人员社会化管理目标，做好后勤保障工作，将国家对国有企业退休人员社会化管理服务政策落到实处，做好退休人员社会化管理服务工作</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实施</w:t>
      </w:r>
      <w:r>
        <w:rPr>
          <w:rFonts w:hint="eastAsia" w:ascii="仿宋_GB2312" w:hAnsi="仿宋" w:eastAsia="仿宋_GB2312"/>
          <w:color w:val="000000"/>
          <w:sz w:val="32"/>
          <w:szCs w:val="32"/>
          <w:highlight w:val="none"/>
        </w:rPr>
        <w:t>国有企业退休人员社会化管理县级财政补助资金项目</w:t>
      </w:r>
      <w:r>
        <w:rPr>
          <w:rFonts w:hint="eastAsia" w:ascii="仿宋_GB2312" w:hAnsi="仿宋" w:eastAsia="仿宋_GB2312"/>
          <w:color w:val="000000"/>
          <w:sz w:val="32"/>
          <w:szCs w:val="32"/>
          <w:highlight w:val="none"/>
          <w:lang w:eastAsia="zh-CN"/>
        </w:rPr>
        <w:t>。</w:t>
      </w:r>
    </w:p>
    <w:p>
      <w:pPr>
        <w:spacing w:line="360" w:lineRule="auto"/>
        <w:ind w:firstLine="640" w:firstLineChars="200"/>
        <w:rPr>
          <w:rFonts w:ascii="仿宋_GB2312" w:hAnsi="Mongolian Baiti" w:eastAsia="仿宋_GB2312" w:cs="Mongolian Baiti"/>
          <w:bCs/>
          <w:color w:val="000000" w:themeColor="text1"/>
          <w:sz w:val="32"/>
          <w:highlight w:val="none"/>
          <w14:textFill>
            <w14:solidFill>
              <w14:schemeClr w14:val="tx1"/>
            </w14:solidFill>
          </w14:textFill>
        </w:rPr>
      </w:pPr>
      <w:r>
        <w:rPr>
          <w:rStyle w:val="46"/>
          <w:rFonts w:hint="default" w:hAnsi="Mongolian Baiti" w:cs="Mongolian Baiti"/>
          <w:bCs/>
          <w:color w:val="000000" w:themeColor="text1"/>
          <w:highlight w:val="none"/>
          <w14:textFill>
            <w14:solidFill>
              <w14:schemeClr w14:val="tx1"/>
            </w14:solidFill>
          </w14:textFill>
        </w:rPr>
        <w:t>2.项目实施情况</w:t>
      </w:r>
    </w:p>
    <w:p>
      <w:pPr>
        <w:spacing w:line="360" w:lineRule="auto"/>
        <w:ind w:firstLine="640" w:firstLineChars="200"/>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rPr>
        <w:t>中共勐海县委党史研究室</w:t>
      </w:r>
      <w:r>
        <w:rPr>
          <w:rFonts w:hint="eastAsia" w:ascii="仿宋_GB2312" w:hAnsi="仿宋" w:eastAsia="仿宋_GB2312"/>
          <w:color w:val="000000"/>
          <w:sz w:val="32"/>
          <w:szCs w:val="32"/>
          <w:highlight w:val="none"/>
          <w:lang w:val="en-US" w:eastAsia="zh-CN"/>
        </w:rPr>
        <w:t>根据其“接收、征集、整理、保管和提供利用分管范围内的档案，做好国家综合档案馆管理工作”的职能职责，负责项目的组织与实施。项目在前期执行了“三重一大”会议决策，通过三方询价的采购程序确定密集架的供货商为</w:t>
      </w:r>
      <w:r>
        <w:rPr>
          <w:rFonts w:hint="eastAsia" w:ascii="仿宋_GB2312" w:hAnsi="仿宋" w:eastAsia="仿宋_GB2312"/>
          <w:sz w:val="32"/>
          <w:szCs w:val="32"/>
          <w:highlight w:val="none"/>
        </w:rPr>
        <w:t>西双版纳思凯商贸有限公司</w:t>
      </w:r>
      <w:r>
        <w:rPr>
          <w:rFonts w:hint="eastAsia" w:ascii="仿宋_GB2312" w:hAnsi="仿宋" w:eastAsia="仿宋_GB2312"/>
          <w:sz w:val="32"/>
          <w:szCs w:val="32"/>
          <w:highlight w:val="none"/>
          <w:lang w:val="en-US" w:eastAsia="zh-CN"/>
        </w:rPr>
        <w:t>并签订了购销合同。</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3.经费来源和使用情况</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Fonts w:hint="eastAsia" w:ascii="仿宋_GB2312" w:hAnsi="仿宋" w:eastAsia="仿宋_GB2312"/>
          <w:color w:val="000000"/>
          <w:sz w:val="32"/>
          <w:szCs w:val="32"/>
          <w:highlight w:val="none"/>
        </w:rPr>
        <w:t>根据勐海县财政局 勐海县人民政府国有资产监督管理委员会《关于安排国有企业退休人员社会化管理补助资金的通知》（海财资字</w:t>
      </w:r>
      <w:r>
        <w:rPr>
          <w:rStyle w:val="46"/>
          <w:rFonts w:hint="default"/>
          <w:highlight w:val="none"/>
        </w:rPr>
        <w:t>〔20</w:t>
      </w:r>
      <w:r>
        <w:rPr>
          <w:rStyle w:val="46"/>
          <w:highlight w:val="none"/>
        </w:rPr>
        <w:t>21</w:t>
      </w:r>
      <w:r>
        <w:rPr>
          <w:rStyle w:val="46"/>
          <w:rFonts w:hint="default"/>
          <w:highlight w:val="none"/>
        </w:rPr>
        <w:t>〕</w:t>
      </w:r>
      <w:r>
        <w:rPr>
          <w:rStyle w:val="46"/>
          <w:highlight w:val="none"/>
        </w:rPr>
        <w:t>16</w:t>
      </w:r>
      <w:r>
        <w:rPr>
          <w:rStyle w:val="46"/>
          <w:rFonts w:hint="default"/>
          <w:highlight w:val="none"/>
        </w:rPr>
        <w:t>号</w:t>
      </w:r>
      <w:r>
        <w:rPr>
          <w:rFonts w:hint="eastAsia" w:ascii="仿宋_GB2312" w:hAnsi="仿宋" w:eastAsia="仿宋_GB2312"/>
          <w:color w:val="000000"/>
          <w:sz w:val="32"/>
          <w:szCs w:val="32"/>
          <w:highlight w:val="none"/>
        </w:rPr>
        <w:t>）</w:t>
      </w:r>
      <w:r>
        <w:rPr>
          <w:rStyle w:val="46"/>
          <w:rFonts w:hint="default" w:hAnsi="Mongolian Baiti" w:cs="Mongolian Baiti"/>
          <w:szCs w:val="32"/>
          <w:highlight w:val="none"/>
        </w:rPr>
        <w:t>文件</w:t>
      </w:r>
      <w:r>
        <w:rPr>
          <w:rStyle w:val="46"/>
          <w:rFonts w:hint="default" w:hAnsi="Mongolian Baiti" w:cs="Mongolian Baiti"/>
          <w:color w:val="000000" w:themeColor="text1"/>
          <w:highlight w:val="none"/>
          <w14:textFill>
            <w14:solidFill>
              <w14:schemeClr w14:val="tx1"/>
            </w14:solidFill>
          </w14:textFill>
        </w:rPr>
        <w:t>，</w:t>
      </w:r>
      <w:r>
        <w:rPr>
          <w:rStyle w:val="46"/>
          <w:rFonts w:hint="eastAsia" w:hAnsi="Mongolian Baiti" w:eastAsia="仿宋_GB2312" w:cs="Mongolian Baiti"/>
          <w:color w:val="000000" w:themeColor="text1"/>
          <w:highlight w:val="none"/>
          <w:lang w:val="en-US" w:eastAsia="zh-CN"/>
          <w14:textFill>
            <w14:solidFill>
              <w14:schemeClr w14:val="tx1"/>
            </w14:solidFill>
          </w14:textFill>
        </w:rPr>
        <w:t>项目预算资金</w:t>
      </w:r>
      <w:r>
        <w:rPr>
          <w:rStyle w:val="46"/>
          <w:rFonts w:hint="eastAsia" w:hAnsi="Mongolian Baiti" w:eastAsia="仿宋_GB2312" w:cs="Mongolian Baiti"/>
          <w:szCs w:val="32"/>
          <w:highlight w:val="none"/>
          <w:lang w:val="en-US" w:eastAsia="zh-CN"/>
        </w:rPr>
        <w:t>11.99万元，到位资金11.99万</w:t>
      </w:r>
      <w:r>
        <w:rPr>
          <w:rStyle w:val="46"/>
          <w:rFonts w:hint="default" w:hAnsi="Mongolian Baiti" w:cs="Mongolian Baiti"/>
          <w:szCs w:val="32"/>
          <w:highlight w:val="none"/>
        </w:rPr>
        <w:t>元</w:t>
      </w:r>
      <w:r>
        <w:rPr>
          <w:rStyle w:val="46"/>
          <w:rFonts w:hint="eastAsia" w:hAnsi="Mongolian Baiti" w:eastAsia="仿宋_GB2312" w:cs="Mongolian Baiti"/>
          <w:szCs w:val="32"/>
          <w:highlight w:val="none"/>
          <w:lang w:eastAsia="zh-CN"/>
        </w:rPr>
        <w:t>，</w:t>
      </w:r>
      <w:r>
        <w:rPr>
          <w:rStyle w:val="46"/>
          <w:rFonts w:hint="eastAsia" w:hAnsi="Mongolian Baiti" w:eastAsia="仿宋_GB2312" w:cs="Mongolian Baiti"/>
          <w:szCs w:val="32"/>
          <w:highlight w:val="none"/>
          <w:lang w:val="en-US" w:eastAsia="zh-CN"/>
        </w:rPr>
        <w:t>资金到位率100%</w:t>
      </w:r>
      <w:r>
        <w:rPr>
          <w:rStyle w:val="46"/>
          <w:rFonts w:hint="default" w:hAnsi="Mongolian Baiti" w:cs="Mongolian Baiti"/>
          <w:color w:val="000000" w:themeColor="text1"/>
          <w:highlight w:val="none"/>
          <w14:textFill>
            <w14:solidFill>
              <w14:schemeClr w14:val="tx1"/>
            </w14:solidFill>
          </w14:textFill>
        </w:rPr>
        <w:t>。</w:t>
      </w:r>
    </w:p>
    <w:p>
      <w:pPr>
        <w:spacing w:line="360" w:lineRule="auto"/>
        <w:ind w:firstLine="640" w:firstLineChars="200"/>
        <w:rPr>
          <w:rStyle w:val="46"/>
          <w:rFonts w:hint="default" w:hAnsi="Mongolian Baiti" w:eastAsia="仿宋_GB2312" w:cs="Mongolian Baiti"/>
          <w:color w:val="000000" w:themeColor="text1"/>
          <w:highlight w:val="none"/>
          <w:lang w:val="en-US" w:eastAsia="zh-CN"/>
          <w14:textFill>
            <w14:solidFill>
              <w14:schemeClr w14:val="tx1"/>
            </w14:solidFill>
          </w14:textFill>
        </w:rPr>
      </w:pPr>
      <w:r>
        <w:rPr>
          <w:rStyle w:val="46"/>
          <w:rFonts w:hint="eastAsia" w:hAnsi="Mongolian Baiti" w:eastAsia="仿宋_GB2312" w:cs="Mongolian Baiti"/>
          <w:color w:val="000000" w:themeColor="text1"/>
          <w:highlight w:val="none"/>
          <w:lang w:val="en-US" w:eastAsia="zh-CN"/>
          <w14:textFill>
            <w14:solidFill>
              <w14:schemeClr w14:val="tx1"/>
            </w14:solidFill>
          </w14:textFill>
        </w:rPr>
        <w:t>根据提供的财务资料，</w:t>
      </w:r>
      <w:r>
        <w:rPr>
          <w:rStyle w:val="46"/>
          <w:rFonts w:hint="default" w:hAnsi="Mongolian Baiti" w:cs="Mongolian Baiti"/>
          <w:color w:val="000000" w:themeColor="text1"/>
          <w:highlight w:val="none"/>
          <w14:textFill>
            <w14:solidFill>
              <w14:schemeClr w14:val="tx1"/>
            </w14:solidFill>
          </w14:textFill>
        </w:rPr>
        <w:t>截止202</w:t>
      </w:r>
      <w:r>
        <w:rPr>
          <w:rStyle w:val="46"/>
          <w:rFonts w:hAnsi="Mongolian Baiti" w:cs="Mongolian Baiti"/>
          <w:color w:val="000000" w:themeColor="text1"/>
          <w:highlight w:val="none"/>
          <w14:textFill>
            <w14:solidFill>
              <w14:schemeClr w14:val="tx1"/>
            </w14:solidFill>
          </w14:textFill>
        </w:rPr>
        <w:t>1</w:t>
      </w:r>
      <w:r>
        <w:rPr>
          <w:rStyle w:val="46"/>
          <w:rFonts w:hint="default" w:hAnsi="Mongolian Baiti" w:cs="Mongolian Baiti"/>
          <w:color w:val="000000" w:themeColor="text1"/>
          <w:highlight w:val="none"/>
          <w14:textFill>
            <w14:solidFill>
              <w14:schemeClr w14:val="tx1"/>
            </w14:solidFill>
          </w14:textFill>
        </w:rPr>
        <w:t>年12月31日，</w:t>
      </w:r>
      <w:r>
        <w:rPr>
          <w:rStyle w:val="46"/>
          <w:rFonts w:hint="eastAsia" w:hAnsi="Mongolian Baiti" w:eastAsia="仿宋_GB2312" w:cs="Mongolian Baiti"/>
          <w:color w:val="000000" w:themeColor="text1"/>
          <w:highlight w:val="none"/>
          <w:lang w:val="en-US" w:eastAsia="zh-CN"/>
          <w14:textFill>
            <w14:solidFill>
              <w14:schemeClr w14:val="tx1"/>
            </w14:solidFill>
          </w14:textFill>
        </w:rPr>
        <w:t>项目支出资金</w:t>
      </w:r>
      <w:r>
        <w:rPr>
          <w:rStyle w:val="46"/>
          <w:rFonts w:hint="eastAsia" w:hAnsi="Mongolian Baiti" w:eastAsia="仿宋_GB2312" w:cs="Mongolian Baiti"/>
          <w:szCs w:val="32"/>
          <w:highlight w:val="none"/>
          <w:lang w:val="en-US" w:eastAsia="zh-CN"/>
        </w:rPr>
        <w:t>11.99万</w:t>
      </w:r>
      <w:r>
        <w:rPr>
          <w:rStyle w:val="46"/>
          <w:rFonts w:hint="default" w:hAnsi="Mongolian Baiti" w:cs="Mongolian Baiti"/>
          <w:szCs w:val="32"/>
          <w:highlight w:val="none"/>
        </w:rPr>
        <w:t>元</w:t>
      </w:r>
      <w:r>
        <w:rPr>
          <w:rStyle w:val="46"/>
          <w:rFonts w:hint="eastAsia" w:hAnsi="Mongolian Baiti" w:eastAsia="仿宋_GB2312" w:cs="Mongolian Baiti"/>
          <w:szCs w:val="32"/>
          <w:highlight w:val="none"/>
          <w:lang w:eastAsia="zh-CN"/>
        </w:rPr>
        <w:t>，</w:t>
      </w:r>
      <w:r>
        <w:rPr>
          <w:rStyle w:val="46"/>
          <w:rFonts w:hint="eastAsia" w:hAnsi="Mongolian Baiti" w:eastAsia="仿宋_GB2312" w:cs="Mongolian Baiti"/>
          <w:szCs w:val="32"/>
          <w:highlight w:val="none"/>
          <w:lang w:val="en-US" w:eastAsia="zh-CN"/>
        </w:rPr>
        <w:t>资金使用率100.00%,资金全部用于购置档案室密集架。</w:t>
      </w:r>
    </w:p>
    <w:p>
      <w:pPr>
        <w:spacing w:line="360" w:lineRule="auto"/>
        <w:ind w:firstLine="640" w:firstLineChars="200"/>
        <w:rPr>
          <w:rStyle w:val="46"/>
          <w:rFonts w:hint="default" w:hAnsi="Mongolian Baiti" w:eastAsia="仿宋_GB2312" w:cs="Mongolian Baiti"/>
          <w:color w:val="000000" w:themeColor="text1"/>
          <w:highlight w:val="none"/>
          <w:lang w:val="en-US" w:eastAsia="zh-CN"/>
          <w14:textFill>
            <w14:solidFill>
              <w14:schemeClr w14:val="tx1"/>
            </w14:solidFill>
          </w14:textFill>
        </w:rPr>
      </w:pPr>
      <w:r>
        <w:rPr>
          <w:rStyle w:val="46"/>
          <w:rFonts w:hint="eastAsia" w:hAnsi="Mongolian Baiti" w:eastAsia="仿宋_GB2312" w:cs="Mongolian Baiti"/>
          <w:color w:val="000000" w:themeColor="text1"/>
          <w:highlight w:val="none"/>
          <w:lang w:val="en-US" w:eastAsia="zh-CN"/>
          <w14:textFill>
            <w14:solidFill>
              <w14:schemeClr w14:val="tx1"/>
            </w14:solidFill>
          </w14:textFill>
        </w:rPr>
        <w:t>截止2021年12月31日，项目到位资金</w:t>
      </w:r>
      <w:r>
        <w:rPr>
          <w:rStyle w:val="46"/>
          <w:rFonts w:hint="eastAsia" w:hAnsi="Mongolian Baiti" w:eastAsia="仿宋_GB2312" w:cs="Mongolian Baiti"/>
          <w:szCs w:val="32"/>
          <w:highlight w:val="none"/>
          <w:lang w:val="en-US" w:eastAsia="zh-CN"/>
        </w:rPr>
        <w:t>11.99万</w:t>
      </w:r>
      <w:r>
        <w:rPr>
          <w:rStyle w:val="46"/>
          <w:rFonts w:hint="eastAsia" w:hAnsi="Mongolian Baiti" w:eastAsia="仿宋_GB2312" w:cs="Mongolian Baiti"/>
          <w:color w:val="000000" w:themeColor="text1"/>
          <w:highlight w:val="none"/>
          <w:lang w:val="en-US" w:eastAsia="zh-CN"/>
          <w14:textFill>
            <w14:solidFill>
              <w14:schemeClr w14:val="tx1"/>
            </w14:solidFill>
          </w14:textFill>
        </w:rPr>
        <w:t>元，共支出资金</w:t>
      </w:r>
      <w:r>
        <w:rPr>
          <w:rStyle w:val="46"/>
          <w:rFonts w:hint="eastAsia" w:hAnsi="Mongolian Baiti" w:eastAsia="仿宋_GB2312" w:cs="Mongolian Baiti"/>
          <w:szCs w:val="32"/>
          <w:highlight w:val="none"/>
          <w:lang w:val="en-US" w:eastAsia="zh-CN"/>
        </w:rPr>
        <w:t>11.99万</w:t>
      </w:r>
      <w:r>
        <w:rPr>
          <w:rStyle w:val="46"/>
          <w:rFonts w:hint="eastAsia" w:hAnsi="Mongolian Baiti" w:eastAsia="仿宋_GB2312" w:cs="Mongolian Baiti"/>
          <w:color w:val="000000" w:themeColor="text1"/>
          <w:highlight w:val="none"/>
          <w:lang w:val="en-US" w:eastAsia="zh-CN"/>
          <w14:textFill>
            <w14:solidFill>
              <w14:schemeClr w14:val="tx1"/>
            </w14:solidFill>
          </w14:textFill>
        </w:rPr>
        <w:t>元，结余资金0.00万元。</w:t>
      </w:r>
    </w:p>
    <w:p>
      <w:pPr>
        <w:pStyle w:val="5"/>
        <w:spacing w:before="0" w:after="0" w:line="360" w:lineRule="auto"/>
        <w:ind w:firstLine="643" w:firstLineChars="200"/>
        <w:rPr>
          <w:rFonts w:ascii="楷体_GB2312" w:eastAsia="楷体_GB2312" w:cs="Times New Roman"/>
          <w:color w:val="000000" w:themeColor="text1"/>
          <w:highlight w:val="none"/>
          <w14:textFill>
            <w14:solidFill>
              <w14:schemeClr w14:val="tx1"/>
            </w14:solidFill>
          </w14:textFill>
        </w:rPr>
      </w:pPr>
      <w:bookmarkStart w:id="2" w:name="_Toc19844"/>
      <w:r>
        <w:rPr>
          <w:rFonts w:hint="eastAsia" w:ascii="楷体_GB2312" w:eastAsia="楷体_GB2312" w:cs="Times New Roman"/>
          <w:color w:val="000000" w:themeColor="text1"/>
          <w:highlight w:val="none"/>
          <w14:textFill>
            <w14:solidFill>
              <w14:schemeClr w14:val="tx1"/>
            </w14:solidFill>
          </w14:textFill>
        </w:rPr>
        <w:t>（二）项目绩效目标</w:t>
      </w:r>
      <w:bookmarkEnd w:id="2"/>
    </w:p>
    <w:p>
      <w:pPr>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根据已提供的</w:t>
      </w:r>
      <w:r>
        <w:rPr>
          <w:rStyle w:val="46"/>
          <w:rFonts w:hint="default"/>
          <w:highlight w:val="none"/>
        </w:rPr>
        <w:t>《项目申报</w:t>
      </w:r>
      <w:r>
        <w:rPr>
          <w:rStyle w:val="46"/>
          <w:highlight w:val="none"/>
        </w:rPr>
        <w:t>书</w:t>
      </w:r>
      <w:r>
        <w:rPr>
          <w:rStyle w:val="46"/>
          <w:rFonts w:hint="default"/>
          <w:highlight w:val="none"/>
        </w:rPr>
        <w:t>》</w:t>
      </w:r>
      <w:r>
        <w:rPr>
          <w:rStyle w:val="46"/>
          <w:rFonts w:hint="default" w:hAnsi="Mongolian Baiti" w:cs="Mongolian Baiti"/>
          <w:color w:val="000000" w:themeColor="text1"/>
          <w:highlight w:val="none"/>
          <w14:textFill>
            <w14:solidFill>
              <w14:schemeClr w14:val="tx1"/>
            </w14:solidFill>
          </w14:textFill>
        </w:rPr>
        <w:t>，项目年度目标为：1.积极筹措资金，确保补助资金及时到位，将国家对国有企业退休人员社会化管理服务政策落到实处。2.按照企业提出实际接收退休人员社会化管理档案移交清单，共接收国企退休人员4967人（含退休党员609人），签订人事档案移交协议、社会化管理服务移交协议和党员组织关系移交协议，接收已故退休人员档案126册。</w:t>
      </w:r>
    </w:p>
    <w:p>
      <w:pPr>
        <w:ind w:firstLine="640" w:firstLineChars="200"/>
        <w:rPr>
          <w:rStyle w:val="46"/>
          <w:rFonts w:hint="eastAsia" w:hAnsi="Mongolian Baiti" w:eastAsia="仿宋_GB2312" w:cs="Mongolian Baiti"/>
          <w:color w:val="000000" w:themeColor="text1"/>
          <w:highlight w:val="none"/>
          <w:lang w:val="en-US" w:eastAsia="zh-CN"/>
          <w14:textFill>
            <w14:solidFill>
              <w14:schemeClr w14:val="tx1"/>
            </w14:solidFill>
          </w14:textFill>
        </w:rPr>
      </w:pPr>
      <w:r>
        <w:rPr>
          <w:rStyle w:val="46"/>
          <w:rFonts w:hint="eastAsia" w:hAnsi="Mongolian Baiti" w:eastAsia="仿宋_GB2312" w:cs="Mongolian Baiti"/>
          <w:color w:val="000000" w:themeColor="text1"/>
          <w:highlight w:val="none"/>
          <w:lang w:val="en-US" w:eastAsia="zh-CN"/>
          <w14:textFill>
            <w14:solidFill>
              <w14:schemeClr w14:val="tx1"/>
            </w14:solidFill>
          </w14:textFill>
        </w:rPr>
        <w:t>项目设定了绩效指标，但存在指标设定较不完整的情况，根据项目实施资料以及实施情况，归纳绩效指标为：</w:t>
      </w:r>
    </w:p>
    <w:p>
      <w:pPr>
        <w:rPr>
          <w:rStyle w:val="46"/>
          <w:rFonts w:hint="default" w:hAnsi="Mongolian Baiti" w:cs="Mongolian Baiti"/>
          <w:color w:val="000000" w:themeColor="text1"/>
          <w:highlight w:val="none"/>
          <w14:textFill>
            <w14:solidFill>
              <w14:schemeClr w14:val="tx1"/>
            </w14:solidFill>
          </w14:textFill>
        </w:rPr>
      </w:pPr>
      <w:r>
        <w:rPr>
          <w:highlight w:val="none"/>
        </w:rPr>
        <w:drawing>
          <wp:inline distT="0" distB="0" distL="114300" distR="114300">
            <wp:extent cx="5687060" cy="3388995"/>
            <wp:effectExtent l="0" t="0" r="254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687060" cy="3388995"/>
                    </a:xfrm>
                    <a:prstGeom prst="rect">
                      <a:avLst/>
                    </a:prstGeom>
                    <a:noFill/>
                    <a:ln>
                      <a:noFill/>
                    </a:ln>
                  </pic:spPr>
                </pic:pic>
              </a:graphicData>
            </a:graphic>
          </wp:inline>
        </w:drawing>
      </w:r>
    </w:p>
    <w:p>
      <w:pPr>
        <w:pStyle w:val="4"/>
        <w:spacing w:before="0" w:after="0" w:line="360" w:lineRule="auto"/>
        <w:ind w:firstLine="640" w:firstLineChars="200"/>
        <w:rPr>
          <w:rFonts w:ascii="仿宋_GB2312" w:hAnsi="方正黑体_GBK" w:eastAsia="仿宋_GB2312" w:cs="方正黑体_GBK"/>
          <w:b w:val="0"/>
          <w:color w:val="000000" w:themeColor="text1"/>
          <w:sz w:val="32"/>
          <w:szCs w:val="32"/>
          <w:highlight w:val="none"/>
          <w:lang w:val="zh-CN"/>
          <w14:textFill>
            <w14:solidFill>
              <w14:schemeClr w14:val="tx1"/>
            </w14:solidFill>
          </w14:textFill>
        </w:rPr>
      </w:pPr>
      <w:bookmarkStart w:id="3" w:name="_Toc17469"/>
      <w:r>
        <w:rPr>
          <w:rFonts w:hint="eastAsia" w:ascii="黑体" w:hAnsi="黑体" w:eastAsia="黑体"/>
          <w:b w:val="0"/>
          <w:color w:val="000000" w:themeColor="text1"/>
          <w:sz w:val="32"/>
          <w:szCs w:val="32"/>
          <w:highlight w:val="none"/>
          <w14:textFill>
            <w14:solidFill>
              <w14:schemeClr w14:val="tx1"/>
            </w14:solidFill>
          </w14:textFill>
        </w:rPr>
        <w:t>二、绩效评价工作情况</w:t>
      </w:r>
      <w:bookmarkEnd w:id="3"/>
    </w:p>
    <w:p>
      <w:pPr>
        <w:pStyle w:val="5"/>
        <w:spacing w:before="0" w:after="0" w:line="360" w:lineRule="auto"/>
        <w:ind w:firstLine="643" w:firstLineChars="200"/>
        <w:rPr>
          <w:rFonts w:ascii="仿宋_GB2312" w:hAnsi="方正楷体_GBK" w:eastAsia="仿宋_GB2312" w:cs="方正楷体_GBK"/>
          <w:bCs w:val="0"/>
          <w:color w:val="000000" w:themeColor="text1"/>
          <w:highlight w:val="none"/>
          <w:lang w:val="zh-CN"/>
          <w14:textFill>
            <w14:solidFill>
              <w14:schemeClr w14:val="tx1"/>
            </w14:solidFill>
          </w14:textFill>
        </w:rPr>
      </w:pPr>
      <w:bookmarkStart w:id="4" w:name="_Toc10823"/>
      <w:r>
        <w:rPr>
          <w:rFonts w:hint="eastAsia" w:ascii="楷体_GB2312" w:eastAsia="楷体_GB2312" w:cs="Times New Roman"/>
          <w:bCs w:val="0"/>
          <w:color w:val="000000" w:themeColor="text1"/>
          <w:highlight w:val="none"/>
          <w14:textFill>
            <w14:solidFill>
              <w14:schemeClr w14:val="tx1"/>
            </w14:solidFill>
          </w14:textFill>
        </w:rPr>
        <w:t>（一）绩效评价目的</w:t>
      </w:r>
      <w:bookmarkEnd w:id="4"/>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bCs/>
          <w:color w:val="000000" w:themeColor="text1"/>
          <w:highlight w:val="none"/>
          <w14:textFill>
            <w14:solidFill>
              <w14:schemeClr w14:val="tx1"/>
            </w14:solidFill>
          </w14:textFill>
        </w:rPr>
        <w:t>绩效评价从项目决策</w:t>
      </w:r>
      <w:r>
        <w:rPr>
          <w:rStyle w:val="46"/>
          <w:rFonts w:hint="default" w:hAnsi="Mongolian Baiti" w:cs="Mongolian Baiti"/>
          <w:color w:val="000000" w:themeColor="text1"/>
          <w:highlight w:val="none"/>
          <w14:textFill>
            <w14:solidFill>
              <w14:schemeClr w14:val="tx1"/>
            </w14:solidFill>
          </w14:textFill>
        </w:rPr>
        <w:t>、过程、产出、效果、资料提供情况五个方面，了解掌握</w:t>
      </w:r>
      <w:r>
        <w:rPr>
          <w:rFonts w:hint="eastAsia" w:ascii="仿宋_GB2312" w:hAnsi="仿宋" w:eastAsia="仿宋_GB2312"/>
          <w:color w:val="000000"/>
          <w:sz w:val="32"/>
          <w:szCs w:val="32"/>
          <w:highlight w:val="none"/>
        </w:rPr>
        <w:t>勐海县国有企业退休人员社会化管理县级财政补助资金项目</w:t>
      </w:r>
      <w:r>
        <w:rPr>
          <w:rStyle w:val="46"/>
          <w:rFonts w:hint="default" w:hAnsi="Mongolian Baiti" w:cs="Mongolian Baiti"/>
          <w:color w:val="000000" w:themeColor="text1"/>
          <w:highlight w:val="none"/>
          <w14:textFill>
            <w14:solidFill>
              <w14:schemeClr w14:val="tx1"/>
            </w14:solidFill>
          </w14:textFill>
        </w:rPr>
        <w:t>在资金使用、项目管理、实施完成、取得成效及制度建设等方面的情况；发现项目实施存在的问题，提出改进的意见和建议，促进相关单位及部门进一步完善项目决策程序、加强管理、强化监督、创新机制、保证项目资金使用管理的规范性、安全性和有效性；为指导预算编制，优化财政支出结构，提高公共服务水平提供决策依据。</w:t>
      </w:r>
    </w:p>
    <w:p>
      <w:pPr>
        <w:pStyle w:val="5"/>
        <w:spacing w:before="0" w:after="0" w:line="360" w:lineRule="auto"/>
        <w:ind w:firstLine="643" w:firstLineChars="200"/>
        <w:rPr>
          <w:rFonts w:ascii="楷体_GB2312" w:eastAsia="楷体_GB2312" w:cs="Times New Roman"/>
          <w:bCs w:val="0"/>
          <w:color w:val="000000" w:themeColor="text1"/>
          <w:highlight w:val="none"/>
          <w:lang w:val="zh-CN"/>
          <w14:textFill>
            <w14:solidFill>
              <w14:schemeClr w14:val="tx1"/>
            </w14:solidFill>
          </w14:textFill>
        </w:rPr>
      </w:pPr>
      <w:bookmarkStart w:id="5" w:name="_Toc19059"/>
      <w:r>
        <w:rPr>
          <w:rFonts w:hint="eastAsia" w:ascii="楷体_GB2312" w:eastAsia="楷体_GB2312" w:cs="Times New Roman"/>
          <w:bCs w:val="0"/>
          <w:color w:val="000000" w:themeColor="text1"/>
          <w:highlight w:val="none"/>
          <w14:textFill>
            <w14:solidFill>
              <w14:schemeClr w14:val="tx1"/>
            </w14:solidFill>
          </w14:textFill>
        </w:rPr>
        <w:t>（二）绩效评价设计过程</w:t>
      </w:r>
      <w:bookmarkEnd w:id="5"/>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1.前期准备</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（1）根据评价项目确定评价组组成人员及项目负责人，学习有关财政支出绩效评价的法规文件；</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（2）到项目主管单位了解项目概况、进行项目评价前调查。根据了解的单位概况和收集到的主要资料，与项目承担单位沟通，制定项目绩效评价实施方案，评价指标体系及评分标准，并报县财政局批准。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 xml:space="preserve">2.实施阶段 </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（1）查阅、复核被评价单位报送的绩效评价资料，汇总、分析相关数据。</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（2）对项目进行实地查验，发放调查问卷等，核实项目实际建设完成情况及取得的效果。</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（3）根据对项目资料及项目现场的核实，从项目</w:t>
      </w:r>
      <w:r>
        <w:rPr>
          <w:rStyle w:val="46"/>
          <w:rFonts w:hint="default" w:hAnsi="Mongolian Baiti" w:cs="Mongolian Baiti"/>
          <w:bCs/>
          <w:color w:val="000000" w:themeColor="text1"/>
          <w:highlight w:val="none"/>
          <w14:textFill>
            <w14:solidFill>
              <w14:schemeClr w14:val="tx1"/>
            </w14:solidFill>
          </w14:textFill>
        </w:rPr>
        <w:t>决策</w:t>
      </w:r>
      <w:r>
        <w:rPr>
          <w:rStyle w:val="46"/>
          <w:rFonts w:hint="default" w:hAnsi="Mongolian Baiti" w:cs="Mongolian Baiti"/>
          <w:color w:val="000000" w:themeColor="text1"/>
          <w:highlight w:val="none"/>
          <w14:textFill>
            <w14:solidFill>
              <w14:schemeClr w14:val="tx1"/>
            </w14:solidFill>
          </w14:textFill>
        </w:rPr>
        <w:t>、过程、产出、效果、资料提供情况五个方面进行评价分析，结合项目资料报送情况完成项目现场评价工作及绩效指标评分。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3.报告撰写和提交</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（1）汇总、分析相关评价情况及数据，总结项目实施情况及效果，找出项目实施存在的问题，并提出相应的建议，形成绩效评价报告征求意见稿，提交被评价单位核实确认，并提交委托单位审核。</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（2）根据审核意见和回复意见，对报告进行修改完善，提交绩效评价正式报告。</w:t>
      </w:r>
    </w:p>
    <w:p>
      <w:pPr>
        <w:pStyle w:val="5"/>
        <w:spacing w:before="0" w:after="0" w:line="360" w:lineRule="auto"/>
        <w:ind w:firstLine="643" w:firstLineChars="200"/>
        <w:rPr>
          <w:rFonts w:ascii="楷体_GB2312" w:hAnsi="华文楷体" w:eastAsia="楷体_GB2312" w:cs="Times New Roman"/>
          <w:color w:val="000000" w:themeColor="text1"/>
          <w:highlight w:val="none"/>
          <w14:textFill>
            <w14:solidFill>
              <w14:schemeClr w14:val="tx1"/>
            </w14:solidFill>
          </w14:textFill>
        </w:rPr>
      </w:pPr>
      <w:bookmarkStart w:id="6" w:name="_Toc8260"/>
      <w:r>
        <w:rPr>
          <w:rFonts w:hint="eastAsia" w:ascii="楷体_GB2312" w:hAnsi="华文楷体" w:eastAsia="楷体_GB2312" w:cs="Times New Roman"/>
          <w:color w:val="000000" w:themeColor="text1"/>
          <w:highlight w:val="none"/>
          <w14:textFill>
            <w14:solidFill>
              <w14:schemeClr w14:val="tx1"/>
            </w14:solidFill>
          </w14:textFill>
        </w:rPr>
        <w:t>（三）绩效评价原则、评价指标体系、绩效标准和评价方法</w:t>
      </w:r>
      <w:bookmarkEnd w:id="6"/>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1.绩效评价原则</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绩效评价工作遵循科学公正、统筹兼顾、激励约束、公开透明的原则。</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2.评价指标体系</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（1）指标体系制定原则</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本次评价指标体系制定遵循：相关性原则、重要性原则、可比性原则、经济性原则、系统性原则。</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（2）评价指标体系</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项目的评价指标分为四级，满分100分。包括决策、过程、</w:t>
      </w:r>
      <w:r>
        <w:rPr>
          <w:rStyle w:val="46"/>
          <w:rFonts w:hint="default" w:hAnsi="Mongolian Baiti" w:cs="Mongolian Baiti"/>
          <w:color w:val="auto"/>
          <w:highlight w:val="none"/>
        </w:rPr>
        <w:t>产出、效果以及资料报送考核指标五项一级指标，权重分别为:15%、</w:t>
      </w:r>
      <w:r>
        <w:rPr>
          <w:rStyle w:val="46"/>
          <w:rFonts w:hint="eastAsia" w:hAnsi="Mongolian Baiti" w:eastAsia="仿宋_GB2312" w:cs="Mongolian Baiti"/>
          <w:color w:val="auto"/>
          <w:highlight w:val="none"/>
          <w:lang w:val="en-US" w:eastAsia="zh-CN"/>
        </w:rPr>
        <w:t>25</w:t>
      </w:r>
      <w:r>
        <w:rPr>
          <w:rStyle w:val="46"/>
          <w:rFonts w:hint="default" w:hAnsi="Mongolian Baiti" w:cs="Mongolian Baiti"/>
          <w:color w:val="auto"/>
          <w:highlight w:val="none"/>
        </w:rPr>
        <w:t>%、35%、</w:t>
      </w:r>
      <w:r>
        <w:rPr>
          <w:rStyle w:val="46"/>
          <w:rFonts w:hint="eastAsia" w:hAnsi="Mongolian Baiti" w:eastAsia="仿宋_GB2312" w:cs="Mongolian Baiti"/>
          <w:color w:val="auto"/>
          <w:highlight w:val="none"/>
          <w:lang w:val="en-US" w:eastAsia="zh-CN"/>
        </w:rPr>
        <w:t>20</w:t>
      </w:r>
      <w:r>
        <w:rPr>
          <w:rStyle w:val="46"/>
          <w:rFonts w:hint="default" w:hAnsi="Mongolian Baiti" w:cs="Mongolian Baiti"/>
          <w:color w:val="auto"/>
          <w:highlight w:val="none"/>
        </w:rPr>
        <w:t>%、5%。在此基础上将其分为1</w:t>
      </w:r>
      <w:r>
        <w:rPr>
          <w:rStyle w:val="46"/>
          <w:rFonts w:hint="eastAsia" w:hAnsi="Mongolian Baiti" w:eastAsia="仿宋_GB2312" w:cs="Mongolian Baiti"/>
          <w:color w:val="auto"/>
          <w:highlight w:val="none"/>
          <w:lang w:val="en-US" w:eastAsia="zh-CN"/>
        </w:rPr>
        <w:t>2</w:t>
      </w:r>
      <w:r>
        <w:rPr>
          <w:rStyle w:val="46"/>
          <w:rFonts w:hint="default" w:hAnsi="Mongolian Baiti" w:cs="Mongolian Baiti"/>
          <w:color w:val="auto"/>
          <w:highlight w:val="none"/>
        </w:rPr>
        <w:t>项二级指标、2</w:t>
      </w:r>
      <w:r>
        <w:rPr>
          <w:rStyle w:val="46"/>
          <w:rFonts w:hint="eastAsia" w:hAnsi="Mongolian Baiti" w:eastAsia="仿宋_GB2312" w:cs="Mongolian Baiti"/>
          <w:color w:val="auto"/>
          <w:highlight w:val="none"/>
          <w:lang w:val="en-US" w:eastAsia="zh-CN"/>
        </w:rPr>
        <w:t>2</w:t>
      </w:r>
      <w:r>
        <w:rPr>
          <w:rStyle w:val="46"/>
          <w:rFonts w:hint="default" w:hAnsi="Mongolian Baiti" w:cs="Mongolian Baiti"/>
          <w:color w:val="auto"/>
          <w:highlight w:val="none"/>
        </w:rPr>
        <w:t>项三级指标、</w:t>
      </w:r>
      <w:r>
        <w:rPr>
          <w:rStyle w:val="46"/>
          <w:rFonts w:hint="eastAsia" w:hAnsi="Mongolian Baiti" w:eastAsia="仿宋_GB2312" w:cs="Mongolian Baiti"/>
          <w:color w:val="auto"/>
          <w:highlight w:val="none"/>
          <w:lang w:val="en-US" w:eastAsia="zh-CN"/>
        </w:rPr>
        <w:t>44</w:t>
      </w:r>
      <w:r>
        <w:rPr>
          <w:rStyle w:val="46"/>
          <w:rFonts w:hint="default" w:hAnsi="Mongolian Baiti" w:cs="Mongolian Baiti"/>
          <w:color w:val="auto"/>
          <w:highlight w:val="none"/>
        </w:rPr>
        <w:t>项四级指标，对项目决策（项目立项、绩效目标、资金投入）、过程（资金管理、组织实施、绩效管理）、</w:t>
      </w:r>
      <w:r>
        <w:rPr>
          <w:rStyle w:val="46"/>
          <w:rFonts w:hint="default" w:hAnsi="Mongolian Baiti" w:cs="Mongolian Baiti"/>
          <w:color w:val="000000" w:themeColor="text1"/>
          <w:highlight w:val="none"/>
          <w14:textFill>
            <w14:solidFill>
              <w14:schemeClr w14:val="tx1"/>
            </w14:solidFill>
          </w14:textFill>
        </w:rPr>
        <w:t>产出（产出数量、</w:t>
      </w:r>
      <w:r>
        <w:rPr>
          <w:rStyle w:val="46"/>
          <w:rFonts w:hAnsi="Mongolian Baiti" w:cs="Mongolian Baiti"/>
          <w:color w:val="000000" w:themeColor="text1"/>
          <w:highlight w:val="none"/>
          <w14:textFill>
            <w14:solidFill>
              <w14:schemeClr w14:val="tx1"/>
            </w14:solidFill>
          </w14:textFill>
        </w:rPr>
        <w:t>产出质量、</w:t>
      </w:r>
      <w:r>
        <w:rPr>
          <w:rStyle w:val="46"/>
          <w:rFonts w:hint="default" w:hAnsi="Mongolian Baiti" w:cs="Mongolian Baiti"/>
          <w:color w:val="000000" w:themeColor="text1"/>
          <w:highlight w:val="none"/>
          <w14:textFill>
            <w14:solidFill>
              <w14:schemeClr w14:val="tx1"/>
            </w14:solidFill>
          </w14:textFill>
        </w:rPr>
        <w:t>产出时效、产出成本）、效果（项目效益）以及资料提供情况等方面进行评价。（详见《绩效评价指标及评分表》）</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3.绩效标准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（1）计划标准</w:t>
      </w:r>
      <w:r>
        <w:rPr>
          <w:rStyle w:val="46"/>
          <w:rFonts w:hint="default" w:hAnsi="Mongolian Baiti" w:cs="Mongolian Baiti"/>
          <w:color w:val="000000" w:themeColor="text1"/>
          <w:highlight w:val="none"/>
          <w14:textFill>
            <w14:solidFill>
              <w14:schemeClr w14:val="tx1"/>
            </w14:solidFill>
          </w14:textFill>
        </w:rPr>
        <w:tab/>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以预先制定的目标、计划、预算、定额等作为评价的标准。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（2）历史标准</w:t>
      </w:r>
    </w:p>
    <w:p>
      <w:pPr>
        <w:widowControl/>
        <w:ind w:firstLine="640" w:firstLineChars="200"/>
        <w:jc w:val="left"/>
        <w:rPr>
          <w:rStyle w:val="46"/>
          <w:rFonts w:hint="default" w:ascii="Times New Roman" w:eastAsia="宋体"/>
          <w:color w:val="000000" w:themeColor="text1"/>
          <w:sz w:val="2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参照历史数据制定的评价标准，为体现绩效改进的原则，在可实现的条件下应当确定相对较高的评价标准。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（3）行业标准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参照国家公布的行业指标数据制定的评价标准。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（4）财政部门和预算部门确认或认可的其他标准。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4.评价方法</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绩效评价方法包括：成本效益分析法、比较法、因素分析法、最低成本法、公众评判法、标杆管理法、其他评价方法。</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项目评价过程中，通过了解被评价单位对</w:t>
      </w:r>
      <w:r>
        <w:rPr>
          <w:rFonts w:hint="eastAsia" w:ascii="仿宋_GB2312" w:hAnsi="仿宋" w:eastAsia="仿宋_GB2312"/>
          <w:color w:val="000000"/>
          <w:sz w:val="32"/>
          <w:szCs w:val="32"/>
          <w:highlight w:val="none"/>
        </w:rPr>
        <w:t>勐海县国有企业退休人员社会化管理县级财政补助资金</w:t>
      </w:r>
      <w:r>
        <w:rPr>
          <w:rStyle w:val="46"/>
          <w:rFonts w:hint="default"/>
          <w:highlight w:val="none"/>
        </w:rPr>
        <w:t>项目</w:t>
      </w:r>
      <w:r>
        <w:rPr>
          <w:rStyle w:val="46"/>
          <w:rFonts w:hint="default" w:hAnsi="Mongolian Baiti" w:cs="Mongolian Baiti"/>
          <w:color w:val="000000" w:themeColor="text1"/>
          <w:highlight w:val="none"/>
          <w14:textFill>
            <w14:solidFill>
              <w14:schemeClr w14:val="tx1"/>
            </w14:solidFill>
          </w14:textFill>
        </w:rPr>
        <w:t>的建设管理及资金使用情况，采取定量与定性相结合的方式，评价本项目绩效情况。</w:t>
      </w:r>
    </w:p>
    <w:p>
      <w:pPr>
        <w:pStyle w:val="5"/>
        <w:spacing w:before="0" w:after="0" w:line="360" w:lineRule="auto"/>
        <w:ind w:firstLine="643" w:firstLineChars="200"/>
        <w:rPr>
          <w:rFonts w:ascii="仿宋_GB2312" w:hAnsi="方正楷体_GBK" w:eastAsia="仿宋_GB2312" w:cs="方正楷体_GBK"/>
          <w:color w:val="000000" w:themeColor="text1"/>
          <w:highlight w:val="none"/>
          <w:lang w:val="zh-CN"/>
          <w14:textFill>
            <w14:solidFill>
              <w14:schemeClr w14:val="tx1"/>
            </w14:solidFill>
          </w14:textFill>
        </w:rPr>
      </w:pPr>
      <w:bookmarkStart w:id="7" w:name="_Toc13382"/>
      <w:r>
        <w:rPr>
          <w:rFonts w:hint="eastAsia" w:ascii="楷体_GB2312" w:hAnsi="华文楷体" w:eastAsia="楷体_GB2312" w:cs="Times New Roman"/>
          <w:color w:val="000000" w:themeColor="text1"/>
          <w:highlight w:val="none"/>
          <w14:textFill>
            <w14:solidFill>
              <w14:schemeClr w14:val="tx1"/>
            </w14:solidFill>
          </w14:textFill>
        </w:rPr>
        <w:t>（四）证据收集方法</w:t>
      </w:r>
      <w:bookmarkEnd w:id="7"/>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结合项目实际情况，采用收集资料、检查记录或文件、对项目单位进行现场抽查、查看会计资料及原始凭证、对项目实施地进行现场勘察、对受益对象进行访谈并发放调查问卷等证据收集方法。</w:t>
      </w:r>
    </w:p>
    <w:p>
      <w:pPr>
        <w:pStyle w:val="5"/>
        <w:spacing w:before="0" w:after="0" w:line="360" w:lineRule="auto"/>
        <w:ind w:firstLine="643" w:firstLineChars="200"/>
        <w:rPr>
          <w:rFonts w:ascii="仿宋_GB2312" w:hAnsi="方正楷体_GBK" w:eastAsia="仿宋_GB2312" w:cs="方正楷体_GBK"/>
          <w:color w:val="000000" w:themeColor="text1"/>
          <w:highlight w:val="none"/>
          <w:lang w:val="zh-CN"/>
          <w14:textFill>
            <w14:solidFill>
              <w14:schemeClr w14:val="tx1"/>
            </w14:solidFill>
          </w14:textFill>
        </w:rPr>
      </w:pPr>
      <w:bookmarkStart w:id="8" w:name="_Toc20109"/>
      <w:r>
        <w:rPr>
          <w:rFonts w:hint="eastAsia" w:ascii="楷体_GB2312" w:hAnsi="华文楷体" w:eastAsia="楷体_GB2312" w:cs="Times New Roman"/>
          <w:color w:val="000000" w:themeColor="text1"/>
          <w:highlight w:val="none"/>
          <w14:textFill>
            <w14:solidFill>
              <w14:schemeClr w14:val="tx1"/>
            </w14:solidFill>
          </w14:textFill>
        </w:rPr>
        <w:t>（五）绩效评价实施过程</w:t>
      </w:r>
      <w:bookmarkEnd w:id="8"/>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按照绩效评价设计过程实施绩效评价，由勐海县财政局负责绩效评价的组织管理，云南信立会计师事务所有限公司负责绩效评价的实施工作，中共勐海县委党史研究室有关人员配合完成本次绩效评价工作。</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通过分析被评价单位报送的绩效评价资料，结合现场抽查、实地勘察和发放调查问卷等方式，从项目决策、项目过程管理、项目产出、项目效果效益等方面找出项目实施存在的问题，并提出相应的建议，为相关部门进一步完善该项目决策与管理制度、改进项目管理工作提供参考。</w:t>
      </w:r>
    </w:p>
    <w:p>
      <w:pPr>
        <w:pStyle w:val="4"/>
        <w:spacing w:before="0" w:after="0" w:line="360" w:lineRule="auto"/>
        <w:ind w:firstLine="640" w:firstLineChars="200"/>
        <w:rPr>
          <w:rFonts w:ascii="黑体" w:hAnsi="黑体" w:eastAsia="黑体" w:cs="黑体"/>
          <w:b w:val="0"/>
          <w:bCs w:val="0"/>
          <w:color w:val="000000" w:themeColor="text1"/>
          <w:sz w:val="32"/>
          <w:szCs w:val="32"/>
          <w:highlight w:val="none"/>
          <w:lang w:val="zh-CN"/>
          <w14:textFill>
            <w14:solidFill>
              <w14:schemeClr w14:val="tx1"/>
            </w14:solidFill>
          </w14:textFill>
        </w:rPr>
      </w:pPr>
      <w:bookmarkStart w:id="9" w:name="_Toc30910"/>
      <w:r>
        <w:rPr>
          <w:rFonts w:hint="eastAsia" w:ascii="黑体" w:hAnsi="黑体" w:eastAsia="黑体" w:cs="黑体"/>
          <w:b w:val="0"/>
          <w:bCs w:val="0"/>
          <w:color w:val="000000" w:themeColor="text1"/>
          <w:kern w:val="2"/>
          <w:sz w:val="32"/>
          <w:szCs w:val="32"/>
          <w:highlight w:val="none"/>
          <w14:textFill>
            <w14:solidFill>
              <w14:schemeClr w14:val="tx1"/>
            </w14:solidFill>
          </w14:textFill>
        </w:rPr>
        <w:t>三、绩效分析及评价结论</w:t>
      </w:r>
      <w:bookmarkEnd w:id="9"/>
    </w:p>
    <w:p>
      <w:pPr>
        <w:pStyle w:val="5"/>
        <w:spacing w:before="0" w:after="0" w:line="360" w:lineRule="auto"/>
        <w:ind w:firstLine="643" w:firstLineChars="200"/>
        <w:rPr>
          <w:rFonts w:ascii="仿宋_GB2312" w:hAnsi="方正楷体_GBK" w:eastAsia="仿宋_GB2312" w:cs="方正楷体_GBK"/>
          <w:color w:val="000000" w:themeColor="text1"/>
          <w:highlight w:val="none"/>
          <w:lang w:val="zh-CN"/>
          <w14:textFill>
            <w14:solidFill>
              <w14:schemeClr w14:val="tx1"/>
            </w14:solidFill>
          </w14:textFill>
        </w:rPr>
      </w:pPr>
      <w:bookmarkStart w:id="10" w:name="_Toc23373"/>
      <w:r>
        <w:rPr>
          <w:rFonts w:hint="eastAsia" w:ascii="楷体_GB2312" w:hAnsi="华文楷体" w:eastAsia="楷体_GB2312" w:cs="Times New Roman"/>
          <w:color w:val="000000" w:themeColor="text1"/>
          <w:highlight w:val="none"/>
          <w14:textFill>
            <w14:solidFill>
              <w14:schemeClr w14:val="tx1"/>
            </w14:solidFill>
          </w14:textFill>
        </w:rPr>
        <w:t>（一）绩效分析</w:t>
      </w:r>
      <w:bookmarkEnd w:id="10"/>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1.决策情况分析</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项目决策情况包括项目立项、绩效目标以及资金投入。</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（1）项目立项</w:t>
      </w:r>
    </w:p>
    <w:p>
      <w:pPr>
        <w:spacing w:line="360" w:lineRule="auto"/>
        <w:ind w:firstLine="640" w:firstLineChars="200"/>
        <w:rPr>
          <w:rStyle w:val="46"/>
          <w:rFonts w:hint="default"/>
          <w:highlight w:val="none"/>
        </w:rPr>
      </w:pPr>
      <w:r>
        <w:rPr>
          <w:rStyle w:val="46"/>
          <w:rFonts w:hint="default"/>
          <w:highlight w:val="none"/>
        </w:rPr>
        <w:t>项目依据《中共中央办公厅国务院办公厅印发&lt;关于国有企业退休人员社会化管理的指导意见&gt;的通知》（厅字〔2019〕19号）</w:t>
      </w:r>
      <w:r>
        <w:rPr>
          <w:rStyle w:val="46"/>
          <w:rFonts w:hint="eastAsia" w:eastAsia="仿宋_GB2312"/>
          <w:highlight w:val="none"/>
          <w:lang w:eastAsia="zh-CN"/>
        </w:rPr>
        <w:t>、</w:t>
      </w:r>
      <w:r>
        <w:rPr>
          <w:rFonts w:hint="eastAsia" w:ascii="仿宋_GB2312" w:hAnsi="仿宋" w:eastAsia="仿宋_GB2312"/>
          <w:color w:val="000000"/>
          <w:sz w:val="32"/>
          <w:szCs w:val="32"/>
          <w:highlight w:val="none"/>
          <w:lang w:val="en-US" w:eastAsia="zh-CN"/>
        </w:rPr>
        <w:t>云南省财政厅 云南省国资委《关于支持地方做好国有企业退休人员社会化管理工作的通知》（云财资〔2020〕77号）等文件立项建设，项目的实施符合</w:t>
      </w:r>
      <w:r>
        <w:rPr>
          <w:rStyle w:val="46"/>
          <w:rFonts w:hint="default" w:hAnsi="Mongolian Baiti" w:cs="Mongolian Baiti"/>
          <w:color w:val="auto"/>
          <w:highlight w:val="none"/>
        </w:rPr>
        <w:t>国家、省政府</w:t>
      </w:r>
      <w:r>
        <w:rPr>
          <w:rStyle w:val="46"/>
          <w:rFonts w:hint="eastAsia" w:hAnsi="Mongolian Baiti" w:eastAsia="仿宋_GB2312" w:cs="Mongolian Baiti"/>
          <w:color w:val="auto"/>
          <w:highlight w:val="none"/>
          <w:lang w:val="en-US" w:eastAsia="zh-CN"/>
        </w:rPr>
        <w:t>的</w:t>
      </w:r>
      <w:r>
        <w:rPr>
          <w:rStyle w:val="46"/>
          <w:rFonts w:hint="default" w:hAnsi="Mongolian Baiti" w:cs="Mongolian Baiti"/>
          <w:color w:val="auto"/>
          <w:highlight w:val="none"/>
        </w:rPr>
        <w:t>战略部署</w:t>
      </w:r>
      <w:r>
        <w:rPr>
          <w:rStyle w:val="46"/>
          <w:rFonts w:hint="eastAsia" w:hAnsi="Mongolian Baiti" w:eastAsia="仿宋_GB2312" w:cs="Mongolian Baiti"/>
          <w:color w:val="auto"/>
          <w:highlight w:val="none"/>
          <w:lang w:eastAsia="zh-CN"/>
        </w:rPr>
        <w:t>，</w:t>
      </w:r>
      <w:r>
        <w:rPr>
          <w:rStyle w:val="46"/>
          <w:rFonts w:hint="eastAsia" w:hAnsi="Mongolian Baiti" w:eastAsia="仿宋_GB2312" w:cs="Mongolian Baiti"/>
          <w:color w:val="auto"/>
          <w:highlight w:val="none"/>
          <w:lang w:val="en-US" w:eastAsia="zh-CN"/>
        </w:rPr>
        <w:t>项目资金来源明确、立项依据充分合理。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（2）绩效目标</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根据提供的《绩效目标申报表》，该项目绩效目标符合国家相关法律法规、国民经济发展规划和党委政府决策，</w:t>
      </w:r>
      <w:r>
        <w:rPr>
          <w:rStyle w:val="46"/>
          <w:rFonts w:hint="eastAsia" w:hAnsi="Mongolian Baiti" w:eastAsia="仿宋_GB2312" w:cs="Mongolian Baiti"/>
          <w:color w:val="000000" w:themeColor="text1"/>
          <w:highlight w:val="none"/>
          <w:lang w:val="en-US" w:eastAsia="zh-CN"/>
          <w14:textFill>
            <w14:solidFill>
              <w14:schemeClr w14:val="tx1"/>
            </w14:solidFill>
          </w14:textFill>
        </w:rPr>
        <w:t>目标任务清晰。归纳绩效目标为：</w:t>
      </w:r>
      <w:r>
        <w:rPr>
          <w:rStyle w:val="46"/>
          <w:rFonts w:hint="default" w:hAnsi="Mongolian Baiti" w:cs="Mongolian Baiti"/>
          <w:color w:val="000000" w:themeColor="text1"/>
          <w:highlight w:val="none"/>
          <w14:textFill>
            <w14:solidFill>
              <w14:schemeClr w14:val="tx1"/>
            </w14:solidFill>
          </w14:textFill>
        </w:rPr>
        <w:t>积极筹措资金，确保补助资金及时到位，将国家对国有企业退休人员社会化管理服务政策落到实处，做好退休人员社会化管理服务工作</w:t>
      </w:r>
      <w:r>
        <w:rPr>
          <w:rStyle w:val="46"/>
          <w:rFonts w:hAnsi="Mongolian Baiti" w:cs="Mongolian Baiti"/>
          <w:color w:val="000000" w:themeColor="text1"/>
          <w:highlight w:val="none"/>
          <w14:textFill>
            <w14:solidFill>
              <w14:schemeClr w14:val="tx1"/>
            </w14:solidFill>
          </w14:textFill>
        </w:rPr>
        <w:t>；</w:t>
      </w:r>
      <w:r>
        <w:rPr>
          <w:rStyle w:val="46"/>
          <w:rFonts w:hint="default" w:hAnsi="Mongolian Baiti" w:cs="Mongolian Baiti"/>
          <w:color w:val="000000" w:themeColor="text1"/>
          <w:highlight w:val="none"/>
          <w14:textFill>
            <w14:solidFill>
              <w14:schemeClr w14:val="tx1"/>
            </w14:solidFill>
          </w14:textFill>
        </w:rPr>
        <w:t>按照就近属地原则，由企业提出实际接收退休人员社会化管理档案移交清单，共接收国企退休人员4967人（含退休党员609人），签订人事档案移交协议、社会化管理服务移交协议和党员组织关系移交协议，接收已故退休人员档案126册</w:t>
      </w:r>
      <w:r>
        <w:rPr>
          <w:rStyle w:val="46"/>
          <w:rFonts w:hint="eastAsia" w:hAnsi="Mongolian Baiti" w:eastAsia="仿宋_GB2312" w:cs="Mongolian Baiti"/>
          <w:color w:val="000000" w:themeColor="text1"/>
          <w:highlight w:val="none"/>
          <w:lang w:eastAsia="zh-CN"/>
          <w14:textFill>
            <w14:solidFill>
              <w14:schemeClr w14:val="tx1"/>
            </w14:solidFill>
          </w14:textFill>
        </w:rPr>
        <w:t>。</w:t>
      </w:r>
      <w:r>
        <w:rPr>
          <w:rStyle w:val="46"/>
          <w:rFonts w:hint="eastAsia" w:hAnsi="Mongolian Baiti" w:eastAsia="仿宋_GB2312" w:cs="Mongolian Baiti"/>
          <w:color w:val="000000" w:themeColor="text1"/>
          <w:highlight w:val="none"/>
          <w:lang w:val="en-US" w:eastAsia="zh-CN"/>
          <w14:textFill>
            <w14:solidFill>
              <w14:schemeClr w14:val="tx1"/>
            </w14:solidFill>
          </w14:textFill>
        </w:rPr>
        <w:t>单位根据要求进行了项目指标设置，但指标设置与绩效目标匹配性较低，部分绩效指标未进行细化与量化，本次绩效评价做了调整</w:t>
      </w:r>
      <w:r>
        <w:rPr>
          <w:rStyle w:val="46"/>
          <w:rFonts w:hint="default" w:hAnsi="Mongolian Baiti" w:cs="Mongolian Baiti"/>
          <w:color w:val="000000" w:themeColor="text1"/>
          <w:highlight w:val="none"/>
          <w14:textFill>
            <w14:solidFill>
              <w14:schemeClr w14:val="tx1"/>
            </w14:solidFill>
          </w14:textFill>
        </w:rPr>
        <w:t>。</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（3）资金投入</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Fonts w:hint="eastAsia" w:ascii="仿宋_GB2312" w:hAnsi="仿宋" w:eastAsia="仿宋_GB2312"/>
          <w:color w:val="000000"/>
          <w:sz w:val="32"/>
          <w:szCs w:val="32"/>
          <w:highlight w:val="none"/>
        </w:rPr>
        <w:t>根据勐海县财政局 勐海县人民政府国有资产监督管理委员会《关于安排国有企业退休人员社会化管理补助资金的通知》（海财资字</w:t>
      </w:r>
      <w:r>
        <w:rPr>
          <w:rStyle w:val="46"/>
          <w:rFonts w:hint="default"/>
          <w:highlight w:val="none"/>
        </w:rPr>
        <w:t>〔20</w:t>
      </w:r>
      <w:r>
        <w:rPr>
          <w:rStyle w:val="46"/>
          <w:highlight w:val="none"/>
        </w:rPr>
        <w:t>21</w:t>
      </w:r>
      <w:r>
        <w:rPr>
          <w:rStyle w:val="46"/>
          <w:rFonts w:hint="default"/>
          <w:highlight w:val="none"/>
        </w:rPr>
        <w:t>〕</w:t>
      </w:r>
      <w:r>
        <w:rPr>
          <w:rStyle w:val="46"/>
          <w:highlight w:val="none"/>
        </w:rPr>
        <w:t>16</w:t>
      </w:r>
      <w:r>
        <w:rPr>
          <w:rStyle w:val="46"/>
          <w:rFonts w:hint="default"/>
          <w:highlight w:val="none"/>
        </w:rPr>
        <w:t>号</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文件</w:t>
      </w:r>
      <w:r>
        <w:rPr>
          <w:rFonts w:ascii="仿宋_GB2312" w:hAnsi="仿宋" w:eastAsia="仿宋_GB2312"/>
          <w:sz w:val="32"/>
          <w:szCs w:val="32"/>
          <w:highlight w:val="none"/>
        </w:rPr>
        <w:t>，</w:t>
      </w:r>
      <w:r>
        <w:rPr>
          <w:rFonts w:hint="eastAsia" w:ascii="仿宋_GB2312" w:hAnsi="仿宋" w:eastAsia="仿宋_GB2312"/>
          <w:sz w:val="32"/>
          <w:szCs w:val="32"/>
          <w:highlight w:val="none"/>
        </w:rPr>
        <w:t>2021年</w:t>
      </w:r>
      <w:r>
        <w:rPr>
          <w:rStyle w:val="46"/>
          <w:rFonts w:hint="default"/>
          <w:highlight w:val="none"/>
        </w:rPr>
        <w:t>项目预算</w:t>
      </w:r>
      <w:r>
        <w:rPr>
          <w:rStyle w:val="46"/>
          <w:rFonts w:hint="eastAsia" w:eastAsia="仿宋_GB2312"/>
          <w:highlight w:val="none"/>
          <w:lang w:val="en-US" w:eastAsia="zh-CN"/>
        </w:rPr>
        <w:t>金额</w:t>
      </w:r>
      <w:r>
        <w:rPr>
          <w:rStyle w:val="46"/>
          <w:rFonts w:hint="eastAsia" w:hAnsi="Mongolian Baiti" w:eastAsia="仿宋_GB2312" w:cs="Mongolian Baiti"/>
          <w:szCs w:val="32"/>
          <w:highlight w:val="none"/>
          <w:lang w:val="en-US" w:eastAsia="zh-CN"/>
        </w:rPr>
        <w:t>11.99万</w:t>
      </w:r>
      <w:r>
        <w:rPr>
          <w:rStyle w:val="46"/>
          <w:rFonts w:hint="default"/>
          <w:highlight w:val="none"/>
        </w:rPr>
        <w:t>元</w:t>
      </w:r>
      <w:r>
        <w:rPr>
          <w:rFonts w:hint="eastAsia" w:ascii="仿宋_GB2312" w:hAnsi="仿宋" w:eastAsia="仿宋_GB2312"/>
          <w:color w:val="000000"/>
          <w:sz w:val="32"/>
          <w:szCs w:val="32"/>
          <w:highlight w:val="none"/>
        </w:rPr>
        <w:t>，</w:t>
      </w:r>
      <w:r>
        <w:rPr>
          <w:rStyle w:val="46"/>
          <w:rFonts w:hint="default"/>
          <w:highlight w:val="none"/>
        </w:rPr>
        <w:t>资金来源为县级资金</w:t>
      </w:r>
      <w:r>
        <w:rPr>
          <w:rStyle w:val="46"/>
          <w:rFonts w:hint="eastAsia" w:eastAsia="仿宋_GB2312"/>
          <w:highlight w:val="none"/>
          <w:lang w:eastAsia="zh-CN"/>
        </w:rPr>
        <w:t>；</w:t>
      </w:r>
      <w:r>
        <w:rPr>
          <w:rStyle w:val="46"/>
          <w:highlight w:val="none"/>
        </w:rPr>
        <w:t>根据合同与付款凭证资料，</w:t>
      </w:r>
      <w:r>
        <w:rPr>
          <w:rFonts w:hint="eastAsia" w:ascii="仿宋_GB2312" w:hAnsi="仿宋" w:eastAsia="仿宋_GB2312"/>
          <w:color w:val="000000"/>
          <w:sz w:val="32"/>
          <w:szCs w:val="32"/>
          <w:highlight w:val="none"/>
        </w:rPr>
        <w:t>项目预算资金与实际完成工作量相匹配，资金分配依据充分</w:t>
      </w:r>
      <w:r>
        <w:rPr>
          <w:rStyle w:val="46"/>
          <w:rFonts w:hint="default" w:hAnsi="Mongolian Baiti" w:cs="Mongolian Baiti"/>
          <w:color w:val="000000" w:themeColor="text1"/>
          <w:highlight w:val="none"/>
          <w14:textFill>
            <w14:solidFill>
              <w14:schemeClr w14:val="tx1"/>
            </w14:solidFill>
          </w14:textFill>
        </w:rPr>
        <w:t>。</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2.过程情况分析</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项目过程包括资金管理、组织实施以及绩效管理。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（1）资金管理</w:t>
      </w:r>
    </w:p>
    <w:p>
      <w:pPr>
        <w:spacing w:line="360" w:lineRule="auto"/>
        <w:ind w:firstLine="640" w:firstLineChars="200"/>
        <w:rPr>
          <w:rStyle w:val="46"/>
          <w:rFonts w:hint="default"/>
          <w:highlight w:val="none"/>
        </w:rPr>
      </w:pPr>
      <w:r>
        <w:rPr>
          <w:rStyle w:val="46"/>
          <w:rFonts w:hint="default"/>
          <w:highlight w:val="none"/>
        </w:rPr>
        <w:t>202</w:t>
      </w:r>
      <w:r>
        <w:rPr>
          <w:rStyle w:val="46"/>
          <w:highlight w:val="none"/>
        </w:rPr>
        <w:t>1</w:t>
      </w:r>
      <w:r>
        <w:rPr>
          <w:rStyle w:val="46"/>
          <w:rFonts w:hint="default"/>
          <w:highlight w:val="none"/>
        </w:rPr>
        <w:t>年</w:t>
      </w:r>
      <w:r>
        <w:rPr>
          <w:rFonts w:hint="eastAsia" w:ascii="仿宋_GB2312" w:hAnsi="仿宋" w:eastAsia="仿宋_GB2312"/>
          <w:color w:val="000000"/>
          <w:sz w:val="32"/>
          <w:szCs w:val="32"/>
          <w:highlight w:val="none"/>
        </w:rPr>
        <w:t>共收到项目资金</w:t>
      </w:r>
      <w:r>
        <w:rPr>
          <w:rStyle w:val="46"/>
          <w:rFonts w:hint="eastAsia" w:hAnsi="Mongolian Baiti" w:eastAsia="仿宋_GB2312" w:cs="Mongolian Baiti"/>
          <w:szCs w:val="32"/>
          <w:highlight w:val="none"/>
          <w:lang w:val="en-US" w:eastAsia="zh-CN"/>
        </w:rPr>
        <w:t>11.99万</w:t>
      </w:r>
      <w:r>
        <w:rPr>
          <w:rStyle w:val="46"/>
          <w:rFonts w:hint="default"/>
          <w:highlight w:val="none"/>
        </w:rPr>
        <w:t>元</w:t>
      </w:r>
      <w:r>
        <w:rPr>
          <w:rFonts w:hint="eastAsia" w:ascii="仿宋_GB2312" w:hAnsi="仿宋" w:eastAsia="仿宋_GB2312"/>
          <w:color w:val="000000"/>
          <w:sz w:val="32"/>
          <w:szCs w:val="32"/>
          <w:highlight w:val="none"/>
        </w:rPr>
        <w:t>，</w:t>
      </w:r>
      <w:r>
        <w:rPr>
          <w:rStyle w:val="46"/>
          <w:rFonts w:hint="default"/>
          <w:highlight w:val="none"/>
        </w:rPr>
        <w:t>实际</w:t>
      </w:r>
      <w:r>
        <w:rPr>
          <w:rStyle w:val="46"/>
          <w:highlight w:val="none"/>
        </w:rPr>
        <w:t>支付</w:t>
      </w:r>
      <w:r>
        <w:rPr>
          <w:rStyle w:val="46"/>
          <w:rFonts w:hint="default"/>
          <w:highlight w:val="none"/>
        </w:rPr>
        <w:t>资金</w:t>
      </w:r>
      <w:r>
        <w:rPr>
          <w:rStyle w:val="46"/>
          <w:rFonts w:hint="eastAsia" w:hAnsi="Mongolian Baiti" w:eastAsia="仿宋_GB2312" w:cs="Mongolian Baiti"/>
          <w:szCs w:val="32"/>
          <w:highlight w:val="none"/>
          <w:lang w:val="en-US" w:eastAsia="zh-CN"/>
        </w:rPr>
        <w:t>11.99万</w:t>
      </w:r>
      <w:r>
        <w:rPr>
          <w:rStyle w:val="46"/>
          <w:rFonts w:hint="default"/>
          <w:highlight w:val="none"/>
        </w:rPr>
        <w:t>元，</w:t>
      </w:r>
      <w:r>
        <w:rPr>
          <w:rStyle w:val="46"/>
          <w:rFonts w:hint="eastAsia" w:eastAsia="仿宋_GB2312"/>
          <w:highlight w:val="none"/>
          <w:lang w:val="en-US" w:eastAsia="zh-CN"/>
        </w:rPr>
        <w:t>资金全部</w:t>
      </w:r>
      <w:r>
        <w:rPr>
          <w:rStyle w:val="46"/>
          <w:highlight w:val="none"/>
        </w:rPr>
        <w:t>用于支付手动密集架尾款</w:t>
      </w:r>
      <w:r>
        <w:rPr>
          <w:rStyle w:val="46"/>
          <w:rFonts w:eastAsia="仿宋_GB2312"/>
          <w:highlight w:val="none"/>
          <w:lang w:eastAsia="zh-CN"/>
        </w:rPr>
        <w:t>；</w:t>
      </w:r>
      <w:r>
        <w:rPr>
          <w:rStyle w:val="46"/>
          <w:rFonts w:hint="default"/>
          <w:highlight w:val="none"/>
        </w:rPr>
        <w:t>实际支出资金与到位资金相比，资金预算执行率为100%。</w:t>
      </w:r>
    </w:p>
    <w:p>
      <w:pPr>
        <w:spacing w:line="360" w:lineRule="auto"/>
        <w:ind w:firstLine="640" w:firstLineChars="200"/>
        <w:rPr>
          <w:rStyle w:val="46"/>
          <w:rFonts w:hint="eastAsia" w:hAnsi="Mongolian Baiti" w:eastAsia="仿宋_GB2312" w:cs="Mongolian Baiti"/>
          <w:color w:val="000000" w:themeColor="text1"/>
          <w:highlight w:val="none"/>
          <w:lang w:eastAsia="zh-CN"/>
          <w14:textFill>
            <w14:solidFill>
              <w14:schemeClr w14:val="tx1"/>
            </w14:solidFill>
          </w14:textFill>
        </w:rPr>
      </w:pPr>
      <w:r>
        <w:rPr>
          <w:rStyle w:val="46"/>
          <w:rFonts w:hint="eastAsia" w:eastAsia="仿宋_GB2312"/>
          <w:highlight w:val="none"/>
          <w:lang w:val="en-US" w:eastAsia="zh-CN"/>
        </w:rPr>
        <w:t>经抽查，</w:t>
      </w:r>
      <w:r>
        <w:rPr>
          <w:rFonts w:hint="eastAsia" w:ascii="仿宋_GB2312" w:hAnsi="仿宋" w:eastAsia="仿宋_GB2312"/>
          <w:sz w:val="32"/>
          <w:szCs w:val="32"/>
          <w:highlight w:val="none"/>
        </w:rPr>
        <w:t>中共勐海县委党史研究室</w:t>
      </w:r>
      <w:r>
        <w:rPr>
          <w:rFonts w:hint="eastAsia" w:ascii="仿宋_GB2312" w:hAnsi="仿宋" w:eastAsia="仿宋_GB2312"/>
          <w:sz w:val="32"/>
          <w:szCs w:val="32"/>
          <w:highlight w:val="none"/>
          <w:lang w:val="en-US" w:eastAsia="zh-CN"/>
        </w:rPr>
        <w:t>资金专款专用，</w:t>
      </w:r>
      <w:r>
        <w:rPr>
          <w:rStyle w:val="46"/>
          <w:rFonts w:hint="default" w:hAnsi="Mongolian Baiti" w:cs="Mongolian Baiti"/>
          <w:color w:val="000000" w:themeColor="text1"/>
          <w:highlight w:val="none"/>
          <w14:textFill>
            <w14:solidFill>
              <w14:schemeClr w14:val="tx1"/>
            </w14:solidFill>
          </w14:textFill>
        </w:rPr>
        <w:t>不存在截留、挤占、挪用、虚列支出</w:t>
      </w:r>
      <w:r>
        <w:rPr>
          <w:rStyle w:val="46"/>
          <w:rFonts w:hint="eastAsia" w:hAnsi="Mongolian Baiti" w:eastAsia="仿宋_GB2312" w:cs="Mongolian Baiti"/>
          <w:color w:val="000000" w:themeColor="text1"/>
          <w:highlight w:val="none"/>
          <w:lang w:val="en-US" w:eastAsia="zh-CN"/>
          <w14:textFill>
            <w14:solidFill>
              <w14:schemeClr w14:val="tx1"/>
            </w14:solidFill>
          </w14:textFill>
        </w:rPr>
        <w:t>的</w:t>
      </w:r>
      <w:r>
        <w:rPr>
          <w:rStyle w:val="46"/>
          <w:rFonts w:hint="default" w:hAnsi="Mongolian Baiti" w:cs="Mongolian Baiti"/>
          <w:color w:val="000000" w:themeColor="text1"/>
          <w:highlight w:val="none"/>
          <w14:textFill>
            <w14:solidFill>
              <w14:schemeClr w14:val="tx1"/>
            </w14:solidFill>
          </w14:textFill>
        </w:rPr>
        <w:t>情况</w:t>
      </w:r>
      <w:r>
        <w:rPr>
          <w:rStyle w:val="46"/>
          <w:rFonts w:hint="eastAsia" w:hAnsi="Mongolian Baiti" w:eastAsia="仿宋_GB2312" w:cs="Mongolian Baiti"/>
          <w:color w:val="000000" w:themeColor="text1"/>
          <w:highlight w:val="none"/>
          <w:lang w:eastAsia="zh-CN"/>
          <w14:textFill>
            <w14:solidFill>
              <w14:schemeClr w14:val="tx1"/>
            </w14:solidFill>
          </w14:textFill>
        </w:rPr>
        <w:t>。</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（2）组织实施</w:t>
      </w:r>
    </w:p>
    <w:p>
      <w:pPr>
        <w:spacing w:line="360" w:lineRule="auto"/>
        <w:ind w:firstLine="640" w:firstLineChars="200"/>
        <w:rPr>
          <w:rStyle w:val="46"/>
          <w:rFonts w:hint="eastAsia" w:eastAsia="仿宋_GB2312"/>
          <w:highlight w:val="none"/>
          <w:lang w:val="en-US" w:eastAsia="zh-CN"/>
        </w:rPr>
      </w:pPr>
      <w:r>
        <w:rPr>
          <w:rStyle w:val="46"/>
          <w:rFonts w:hAnsi="Mongolian Baiti" w:cs="Mongolian Baiti"/>
          <w:highlight w:val="none"/>
        </w:rPr>
        <w:t>项目由</w:t>
      </w:r>
      <w:r>
        <w:rPr>
          <w:rFonts w:hint="eastAsia" w:ascii="仿宋_GB2312" w:hAnsi="仿宋" w:eastAsia="仿宋_GB2312"/>
          <w:sz w:val="32"/>
          <w:szCs w:val="32"/>
          <w:highlight w:val="none"/>
        </w:rPr>
        <w:t>中共勐海县委党史研究室</w:t>
      </w:r>
      <w:r>
        <w:rPr>
          <w:rFonts w:hint="eastAsia" w:ascii="仿宋_GB2312" w:hAnsi="仿宋" w:eastAsia="仿宋_GB2312"/>
          <w:sz w:val="32"/>
          <w:szCs w:val="32"/>
          <w:highlight w:val="none"/>
          <w:lang w:val="en-US" w:eastAsia="zh-CN"/>
        </w:rPr>
        <w:t>负责</w:t>
      </w:r>
      <w:r>
        <w:rPr>
          <w:rStyle w:val="46"/>
          <w:rFonts w:hAnsi="Mongolian Baiti" w:cs="Mongolian Baiti"/>
          <w:highlight w:val="none"/>
        </w:rPr>
        <w:t>组织实施，</w:t>
      </w:r>
      <w:r>
        <w:rPr>
          <w:rStyle w:val="46"/>
          <w:rFonts w:hint="eastAsia" w:hAnsi="Mongolian Baiti" w:eastAsia="仿宋_GB2312" w:cs="Mongolian Baiti"/>
          <w:highlight w:val="none"/>
          <w:lang w:val="en-US" w:eastAsia="zh-CN"/>
        </w:rPr>
        <w:t>在项目</w:t>
      </w:r>
      <w:r>
        <w:rPr>
          <w:rStyle w:val="46"/>
          <w:rFonts w:hint="default" w:hAnsi="Mongolian Baiti" w:cs="Mongolian Baiti"/>
          <w:color w:val="000000" w:themeColor="text1"/>
          <w:highlight w:val="none"/>
          <w14:textFill>
            <w14:solidFill>
              <w14:schemeClr w14:val="tx1"/>
            </w14:solidFill>
          </w14:textFill>
        </w:rPr>
        <w:t>实施过程中基本能够遵照执行相应法律、法规</w:t>
      </w:r>
      <w:r>
        <w:rPr>
          <w:rStyle w:val="46"/>
          <w:rFonts w:hint="eastAsia" w:hAnsi="Mongolian Baiti" w:eastAsia="仿宋_GB2312" w:cs="Mongolian Baiti"/>
          <w:color w:val="000000" w:themeColor="text1"/>
          <w:highlight w:val="none"/>
          <w:lang w:val="en-US" w:eastAsia="zh-CN"/>
          <w14:textFill>
            <w14:solidFill>
              <w14:schemeClr w14:val="tx1"/>
            </w14:solidFill>
          </w14:textFill>
        </w:rPr>
        <w:t>及</w:t>
      </w:r>
      <w:r>
        <w:rPr>
          <w:rStyle w:val="46"/>
          <w:rFonts w:hint="default" w:hAnsi="Mongolian Baiti" w:cs="Mongolian Baiti"/>
          <w:color w:val="000000" w:themeColor="text1"/>
          <w:highlight w:val="none"/>
          <w14:textFill>
            <w14:solidFill>
              <w14:schemeClr w14:val="tx1"/>
            </w14:solidFill>
          </w14:textFill>
        </w:rPr>
        <w:t>制度</w:t>
      </w:r>
      <w:r>
        <w:rPr>
          <w:rStyle w:val="46"/>
          <w:rFonts w:hint="eastAsia" w:hAnsi="Mongolian Baiti" w:eastAsia="仿宋_GB2312" w:cs="Mongolian Baiti"/>
          <w:color w:val="000000" w:themeColor="text1"/>
          <w:highlight w:val="none"/>
          <w:lang w:val="en-US" w:eastAsia="zh-CN"/>
          <w14:textFill>
            <w14:solidFill>
              <w14:schemeClr w14:val="tx1"/>
            </w14:solidFill>
          </w14:textFill>
        </w:rPr>
        <w:t>执行</w:t>
      </w:r>
      <w:r>
        <w:rPr>
          <w:rStyle w:val="46"/>
          <w:rFonts w:hint="eastAsia" w:hAnsi="Mongolian Baiti" w:eastAsia="仿宋_GB2312" w:cs="Mongolian Baiti"/>
          <w:color w:val="000000" w:themeColor="text1"/>
          <w:highlight w:val="none"/>
          <w:lang w:eastAsia="zh-CN"/>
          <w14:textFill>
            <w14:solidFill>
              <w14:schemeClr w14:val="tx1"/>
            </w14:solidFill>
          </w14:textFill>
        </w:rPr>
        <w:t>，</w:t>
      </w:r>
      <w:r>
        <w:rPr>
          <w:rStyle w:val="46"/>
          <w:rFonts w:hint="default" w:hAnsi="Mongolian Baiti" w:cs="Mongolian Baiti"/>
          <w:color w:val="000000" w:themeColor="text1"/>
          <w:highlight w:val="none"/>
          <w14:textFill>
            <w14:solidFill>
              <w14:schemeClr w14:val="tx1"/>
            </w14:solidFill>
          </w14:textFill>
        </w:rPr>
        <w:t>项目开展了绩效目标设定、申报、自评工作</w:t>
      </w:r>
      <w:r>
        <w:rPr>
          <w:rStyle w:val="46"/>
          <w:rFonts w:hint="eastAsia" w:hAnsi="Mongolian Baiti" w:eastAsia="仿宋_GB2312" w:cs="Mongolian Baiti"/>
          <w:color w:val="000000" w:themeColor="text1"/>
          <w:highlight w:val="none"/>
          <w:lang w:eastAsia="zh-CN"/>
          <w14:textFill>
            <w14:solidFill>
              <w14:schemeClr w14:val="tx1"/>
            </w14:solidFill>
          </w14:textFill>
        </w:rPr>
        <w:t>。</w:t>
      </w:r>
      <w:r>
        <w:rPr>
          <w:rStyle w:val="46"/>
          <w:rFonts w:hint="eastAsia" w:hAnsi="Mongolian Baiti" w:eastAsia="仿宋_GB2312" w:cs="Mongolian Baiti"/>
          <w:color w:val="000000" w:themeColor="text1"/>
          <w:highlight w:val="none"/>
          <w:lang w:val="en-US" w:eastAsia="zh-CN"/>
          <w14:textFill>
            <w14:solidFill>
              <w14:schemeClr w14:val="tx1"/>
            </w14:solidFill>
          </w14:textFill>
        </w:rPr>
        <w:t>为规范项目的管理，购置的密集架已按照单位制定的《固定资产管理制度》进行后续的管理。同时</w:t>
      </w:r>
      <w:r>
        <w:rPr>
          <w:rStyle w:val="46"/>
          <w:rFonts w:hint="eastAsia" w:hAnsi="Mongolian Baiti" w:eastAsia="仿宋_GB2312" w:cs="Mongolian Baiti"/>
          <w:highlight w:val="none"/>
          <w:lang w:val="en-US" w:eastAsia="zh-CN"/>
        </w:rPr>
        <w:t>，</w:t>
      </w:r>
      <w:r>
        <w:rPr>
          <w:rFonts w:hint="eastAsia" w:ascii="仿宋_GB2312" w:hAnsi="仿宋" w:eastAsia="仿宋_GB2312"/>
          <w:sz w:val="32"/>
          <w:szCs w:val="32"/>
          <w:highlight w:val="none"/>
        </w:rPr>
        <w:t>中共勐海县委党史研究室</w:t>
      </w:r>
      <w:r>
        <w:rPr>
          <w:rFonts w:hint="eastAsia" w:ascii="仿宋_GB2312" w:hAnsi="仿宋" w:eastAsia="仿宋_GB2312"/>
          <w:sz w:val="32"/>
          <w:szCs w:val="32"/>
          <w:highlight w:val="none"/>
          <w:lang w:val="en-US" w:eastAsia="zh-CN"/>
        </w:rPr>
        <w:t>制定了</w:t>
      </w:r>
      <w:r>
        <w:rPr>
          <w:rStyle w:val="46"/>
          <w:rFonts w:hint="default"/>
          <w:highlight w:val="none"/>
        </w:rPr>
        <w:t>《财务管理制度》</w:t>
      </w:r>
      <w:r>
        <w:rPr>
          <w:rStyle w:val="46"/>
          <w:rFonts w:hint="eastAsia" w:eastAsia="仿宋_GB2312"/>
          <w:highlight w:val="none"/>
          <w:lang w:eastAsia="zh-CN"/>
        </w:rPr>
        <w:t>、</w:t>
      </w:r>
      <w:r>
        <w:rPr>
          <w:rFonts w:hint="eastAsia" w:ascii="仿宋_GB2312" w:hAnsi="仿宋" w:eastAsia="仿宋_GB2312"/>
          <w:sz w:val="32"/>
          <w:szCs w:val="32"/>
          <w:highlight w:val="none"/>
        </w:rPr>
        <w:t>《“三重一大”事项集体决策制度》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建设项目管理制度</w:t>
      </w:r>
      <w:r>
        <w:rPr>
          <w:rFonts w:hint="eastAsia" w:ascii="仿宋_GB2312" w:hAnsi="仿宋" w:eastAsia="仿宋_GB2312"/>
          <w:sz w:val="32"/>
          <w:szCs w:val="32"/>
          <w:highlight w:val="none"/>
          <w:lang w:eastAsia="zh-CN"/>
        </w:rPr>
        <w:t>》，</w:t>
      </w:r>
      <w:r>
        <w:rPr>
          <w:rStyle w:val="46"/>
          <w:rFonts w:hint="default"/>
          <w:highlight w:val="none"/>
        </w:rPr>
        <w:t>对项目进行核算管理和财务监督，对于项目资金基本能够按照相关制度进行财务管理和核算，资金使用程序基本规范，使用合理合规</w:t>
      </w:r>
      <w:r>
        <w:rPr>
          <w:rStyle w:val="46"/>
          <w:highlight w:val="none"/>
        </w:rPr>
        <w:t>；</w:t>
      </w:r>
      <w:r>
        <w:rPr>
          <w:rStyle w:val="46"/>
          <w:rFonts w:hint="eastAsia" w:eastAsia="仿宋_GB2312"/>
          <w:highlight w:val="none"/>
          <w:lang w:val="en-US" w:eastAsia="zh-CN"/>
        </w:rPr>
        <w:t>但</w:t>
      </w:r>
      <w:r>
        <w:rPr>
          <w:rStyle w:val="46"/>
          <w:rFonts w:eastAsia="仿宋"/>
          <w:highlight w:val="none"/>
        </w:rPr>
        <w:t>单位</w:t>
      </w:r>
      <w:r>
        <w:rPr>
          <w:rStyle w:val="46"/>
          <w:rFonts w:hint="default"/>
          <w:highlight w:val="none"/>
        </w:rPr>
        <w:t>存在</w:t>
      </w:r>
      <w:r>
        <w:rPr>
          <w:rStyle w:val="46"/>
          <w:rFonts w:hint="eastAsia" w:eastAsia="仿宋_GB2312"/>
          <w:highlight w:val="none"/>
          <w:lang w:val="en-US" w:eastAsia="zh-CN"/>
        </w:rPr>
        <w:t>单位制度制定简约的情况。</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（3）绩效管理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中共勐海县委党史研究室</w:t>
      </w:r>
      <w:r>
        <w:rPr>
          <w:rStyle w:val="46"/>
          <w:rFonts w:hint="default" w:hAnsi="Mongolian Baiti" w:cs="Mongolian Baiti"/>
          <w:highlight w:val="none"/>
        </w:rPr>
        <w:t>已提供《项目支出绩效目标申报表》</w:t>
      </w:r>
      <w:r>
        <w:rPr>
          <w:rStyle w:val="46"/>
          <w:rFonts w:hint="eastAsia" w:hAnsi="Mongolian Baiti" w:eastAsia="仿宋_GB2312" w:cs="Mongolian Baiti"/>
          <w:highlight w:val="none"/>
          <w:lang w:eastAsia="zh-CN"/>
        </w:rPr>
        <w:t>、</w:t>
      </w:r>
      <w:r>
        <w:rPr>
          <w:rStyle w:val="46"/>
          <w:rFonts w:hint="default" w:hAnsi="Mongolian Baiti" w:cs="Mongolian Baiti"/>
          <w:highlight w:val="none"/>
        </w:rPr>
        <w:t>《项目支出绩效自评表》、</w:t>
      </w:r>
      <w:r>
        <w:rPr>
          <w:rStyle w:val="46"/>
          <w:rFonts w:hint="default"/>
          <w:highlight w:val="none"/>
        </w:rPr>
        <w:t>项目工作总结</w:t>
      </w:r>
      <w:r>
        <w:rPr>
          <w:rStyle w:val="46"/>
          <w:rFonts w:hint="eastAsia" w:eastAsia="仿宋_GB2312"/>
          <w:highlight w:val="none"/>
          <w:lang w:eastAsia="zh-CN"/>
        </w:rPr>
        <w:t>。</w:t>
      </w:r>
      <w:r>
        <w:rPr>
          <w:rStyle w:val="46"/>
          <w:rFonts w:hint="eastAsia" w:eastAsia="仿宋_GB2312"/>
          <w:highlight w:val="none"/>
          <w:lang w:val="en-US" w:eastAsia="zh-CN"/>
        </w:rPr>
        <w:t>但存在绩效指标设置过于简约</w:t>
      </w:r>
      <w:r>
        <w:rPr>
          <w:rStyle w:val="46"/>
          <w:rFonts w:hint="eastAsia" w:hAnsi="Mongolian Baiti" w:eastAsia="仿宋_GB2312" w:cs="Mongolian Baiti"/>
          <w:highlight w:val="none"/>
          <w:lang w:eastAsia="zh-CN"/>
        </w:rPr>
        <w:t>。</w:t>
      </w:r>
      <w:r>
        <w:rPr>
          <w:rStyle w:val="46"/>
          <w:rFonts w:hint="eastAsia" w:hAnsi="Mongolian Baiti" w:eastAsia="仿宋_GB2312" w:cs="Mongolian Baiti"/>
          <w:highlight w:val="none"/>
          <w:lang w:val="en-US" w:eastAsia="zh-CN"/>
        </w:rPr>
        <w:t>根据提供的</w:t>
      </w:r>
      <w:r>
        <w:rPr>
          <w:rStyle w:val="46"/>
          <w:rFonts w:hint="default" w:hAnsi="Mongolian Baiti" w:cs="Mongolian Baiti"/>
          <w:color w:val="000000" w:themeColor="text1"/>
          <w:highlight w:val="none"/>
          <w14:textFill>
            <w14:solidFill>
              <w14:schemeClr w14:val="tx1"/>
            </w14:solidFill>
          </w14:textFill>
        </w:rPr>
        <w:t>《项目支出绩效自评表》</w:t>
      </w:r>
      <w:r>
        <w:rPr>
          <w:rStyle w:val="46"/>
          <w:rFonts w:hint="eastAsia" w:hAnsi="Mongolian Baiti" w:eastAsia="仿宋_GB2312" w:cs="Mongolian Baiti"/>
          <w:color w:val="000000" w:themeColor="text1"/>
          <w:highlight w:val="none"/>
          <w:lang w:eastAsia="zh-CN"/>
          <w14:textFill>
            <w14:solidFill>
              <w14:schemeClr w14:val="tx1"/>
            </w14:solidFill>
          </w14:textFill>
        </w:rPr>
        <w:t>，</w:t>
      </w:r>
      <w:r>
        <w:rPr>
          <w:rStyle w:val="46"/>
          <w:rFonts w:hint="eastAsia" w:hAnsi="Mongolian Baiti" w:eastAsia="仿宋_GB2312" w:cs="Mongolian Baiti"/>
          <w:color w:val="000000" w:themeColor="text1"/>
          <w:highlight w:val="none"/>
          <w:lang w:val="en-US" w:eastAsia="zh-CN"/>
          <w14:textFill>
            <w14:solidFill>
              <w14:schemeClr w14:val="tx1"/>
            </w14:solidFill>
          </w14:textFill>
        </w:rPr>
        <w:t>项目自评得分为120.00分，自评得分不符合实际要求，调整后项目自评得分为100.00分。</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3.产出情况分析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项目产出包括产出数量、</w:t>
      </w:r>
      <w:r>
        <w:rPr>
          <w:rStyle w:val="46"/>
          <w:rFonts w:hAnsi="Mongolian Baiti" w:cs="Mongolian Baiti"/>
          <w:color w:val="000000" w:themeColor="text1"/>
          <w:highlight w:val="none"/>
          <w14:textFill>
            <w14:solidFill>
              <w14:schemeClr w14:val="tx1"/>
            </w14:solidFill>
          </w14:textFill>
        </w:rPr>
        <w:t>产出质量、</w:t>
      </w:r>
      <w:r>
        <w:rPr>
          <w:rStyle w:val="46"/>
          <w:rFonts w:hint="default" w:hAnsi="Mongolian Baiti" w:cs="Mongolian Baiti"/>
          <w:color w:val="000000" w:themeColor="text1"/>
          <w:highlight w:val="none"/>
          <w14:textFill>
            <w14:solidFill>
              <w14:schemeClr w14:val="tx1"/>
            </w14:solidFill>
          </w14:textFill>
        </w:rPr>
        <w:t>产出时效、产出成本情况。</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（1）产出数量</w:t>
      </w:r>
    </w:p>
    <w:p>
      <w:pPr>
        <w:spacing w:line="360" w:lineRule="auto"/>
        <w:ind w:firstLine="640" w:firstLineChars="200"/>
        <w:rPr>
          <w:rStyle w:val="46"/>
          <w:rFonts w:hint="eastAsia" w:hAnsi="Mongolian Baiti" w:eastAsia="仿宋_GB2312" w:cs="Mongolian Baiti"/>
          <w:color w:val="000000" w:themeColor="text1"/>
          <w:highlight w:val="none"/>
          <w:lang w:val="en-US" w:eastAsia="zh-CN"/>
          <w14:textFill>
            <w14:solidFill>
              <w14:schemeClr w14:val="tx1"/>
            </w14:solidFill>
          </w14:textFill>
        </w:rPr>
      </w:pPr>
      <w:r>
        <w:rPr>
          <w:rStyle w:val="46"/>
          <w:rFonts w:hint="eastAsia" w:hAnsi="Mongolian Baiti" w:eastAsia="仿宋_GB2312" w:cs="Mongolian Baiti"/>
          <w:color w:val="000000" w:themeColor="text1"/>
          <w:highlight w:val="none"/>
          <w:lang w:val="en-US" w:eastAsia="zh-CN"/>
          <w14:textFill>
            <w14:solidFill>
              <w14:schemeClr w14:val="tx1"/>
            </w14:solidFill>
          </w14:textFill>
        </w:rPr>
        <w:t>①根据现场查看，单位已完成密集架购置工作；</w:t>
      </w:r>
    </w:p>
    <w:p>
      <w:pPr>
        <w:spacing w:line="360" w:lineRule="auto"/>
        <w:ind w:firstLine="640" w:firstLineChars="200"/>
        <w:rPr>
          <w:rStyle w:val="46"/>
          <w:rFonts w:hint="eastAsia" w:hAnsi="Mongolian Baiti" w:eastAsia="仿宋_GB2312" w:cs="Mongolian Baiti"/>
          <w:color w:val="000000" w:themeColor="text1"/>
          <w:highlight w:val="none"/>
          <w:lang w:val="en-US" w:eastAsia="zh-CN"/>
          <w14:textFill>
            <w14:solidFill>
              <w14:schemeClr w14:val="tx1"/>
            </w14:solidFill>
          </w14:textFill>
        </w:rPr>
      </w:pPr>
      <w:r>
        <w:rPr>
          <w:rStyle w:val="46"/>
          <w:rFonts w:hint="eastAsia" w:hAnsi="Mongolian Baiti" w:eastAsia="仿宋_GB2312" w:cs="Mongolian Baiti"/>
          <w:color w:val="000000" w:themeColor="text1"/>
          <w:highlight w:val="none"/>
          <w:lang w:val="en-US" w:eastAsia="zh-CN"/>
          <w14:textFill>
            <w14:solidFill>
              <w14:schemeClr w14:val="tx1"/>
            </w14:solidFill>
          </w14:textFill>
        </w:rPr>
        <w:t>②接收退休党员档案609人，实际接收退休党员人数未提供；</w:t>
      </w:r>
    </w:p>
    <w:p>
      <w:pPr>
        <w:spacing w:line="360" w:lineRule="auto"/>
        <w:ind w:firstLine="640" w:firstLineChars="200"/>
        <w:rPr>
          <w:rStyle w:val="46"/>
          <w:rFonts w:hint="eastAsia" w:hAnsi="Mongolian Baiti" w:eastAsia="仿宋_GB2312" w:cs="Mongolian Baiti"/>
          <w:color w:val="000000" w:themeColor="text1"/>
          <w:highlight w:val="none"/>
          <w:lang w:val="en-US" w:eastAsia="zh-CN"/>
          <w14:textFill>
            <w14:solidFill>
              <w14:schemeClr w14:val="tx1"/>
            </w14:solidFill>
          </w14:textFill>
        </w:rPr>
      </w:pPr>
      <w:r>
        <w:rPr>
          <w:rStyle w:val="46"/>
          <w:rFonts w:hint="eastAsia" w:hAnsi="Mongolian Baiti" w:eastAsia="仿宋_GB2312" w:cs="Mongolian Baiti"/>
          <w:color w:val="000000" w:themeColor="text1"/>
          <w:highlight w:val="none"/>
          <w:lang w:val="en-US" w:eastAsia="zh-CN"/>
          <w14:textFill>
            <w14:solidFill>
              <w14:schemeClr w14:val="tx1"/>
            </w14:solidFill>
          </w14:textFill>
        </w:rPr>
        <w:t>③接收已故退休人员档案数量126册，实际接收已故退休人员档案数量未提供；</w:t>
      </w:r>
    </w:p>
    <w:p>
      <w:pPr>
        <w:spacing w:line="360" w:lineRule="auto"/>
        <w:ind w:firstLine="640" w:firstLineChars="200"/>
        <w:rPr>
          <w:rStyle w:val="46"/>
          <w:rFonts w:hint="default" w:hAnsi="Mongolian Baiti" w:eastAsia="仿宋_GB2312" w:cs="Mongolian Baiti"/>
          <w:color w:val="000000" w:themeColor="text1"/>
          <w:highlight w:val="none"/>
          <w:lang w:val="en-US" w:eastAsia="zh-CN"/>
          <w14:textFill>
            <w14:solidFill>
              <w14:schemeClr w14:val="tx1"/>
            </w14:solidFill>
          </w14:textFill>
        </w:rPr>
      </w:pPr>
      <w:r>
        <w:rPr>
          <w:rStyle w:val="46"/>
          <w:rFonts w:hint="eastAsia" w:hAnsi="Mongolian Baiti" w:eastAsia="仿宋_GB2312" w:cs="Mongolian Baiti"/>
          <w:color w:val="000000" w:themeColor="text1"/>
          <w:highlight w:val="none"/>
          <w:lang w:val="en-US" w:eastAsia="zh-CN"/>
          <w14:textFill>
            <w14:solidFill>
              <w14:schemeClr w14:val="tx1"/>
            </w14:solidFill>
          </w14:textFill>
        </w:rPr>
        <w:t>④接收退休人员档案数量4967人，实际接收4564人。</w:t>
      </w:r>
    </w:p>
    <w:p>
      <w:pPr>
        <w:numPr>
          <w:ilvl w:val="0"/>
          <w:numId w:val="1"/>
        </w:num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Ansi="Mongolian Baiti" w:cs="Mongolian Baiti"/>
          <w:color w:val="000000" w:themeColor="text1"/>
          <w:highlight w:val="none"/>
          <w14:textFill>
            <w14:solidFill>
              <w14:schemeClr w14:val="tx1"/>
            </w14:solidFill>
          </w14:textFill>
        </w:rPr>
        <w:t>产出质量</w:t>
      </w:r>
    </w:p>
    <w:p>
      <w:pPr>
        <w:spacing w:line="360" w:lineRule="auto"/>
        <w:ind w:firstLine="640" w:firstLineChars="200"/>
        <w:rPr>
          <w:rStyle w:val="46"/>
          <w:rFonts w:hint="default" w:hAnsi="Mongolian Baiti" w:cs="Mongolian Baiti"/>
          <w:highlight w:val="none"/>
        </w:rPr>
      </w:pPr>
      <w:r>
        <w:rPr>
          <w:rStyle w:val="46"/>
          <w:rFonts w:hint="eastAsia" w:hAnsi="Mongolian Baiti" w:eastAsia="仿宋_GB2312" w:cs="Mongolian Baiti"/>
          <w:highlight w:val="none"/>
          <w:lang w:val="en-US" w:eastAsia="zh-CN"/>
        </w:rPr>
        <w:t>截止评价日，购置的密集架已进行安装并投入使用经现场查看，密集架无损毁、闲置的情况，资产得到有效利用。经询问，项目开展提高档案管理的规范性，国有企业档案存放问题得到有效解决。</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w:t>
      </w:r>
      <w:r>
        <w:rPr>
          <w:rStyle w:val="46"/>
          <w:rFonts w:hAnsi="Mongolian Baiti" w:cs="Mongolian Baiti"/>
          <w:color w:val="000000" w:themeColor="text1"/>
          <w:highlight w:val="none"/>
          <w14:textFill>
            <w14:solidFill>
              <w14:schemeClr w14:val="tx1"/>
            </w14:solidFill>
          </w14:textFill>
        </w:rPr>
        <w:t>3</w:t>
      </w:r>
      <w:r>
        <w:rPr>
          <w:rStyle w:val="46"/>
          <w:rFonts w:hint="default" w:hAnsi="Mongolian Baiti" w:cs="Mongolian Baiti"/>
          <w:color w:val="000000" w:themeColor="text1"/>
          <w:highlight w:val="none"/>
          <w14:textFill>
            <w14:solidFill>
              <w14:schemeClr w14:val="tx1"/>
            </w14:solidFill>
          </w14:textFill>
        </w:rPr>
        <w:t>）产出时效</w:t>
      </w:r>
    </w:p>
    <w:p>
      <w:pPr>
        <w:spacing w:line="360" w:lineRule="auto"/>
        <w:ind w:firstLine="640" w:firstLineChars="200"/>
        <w:rPr>
          <w:rFonts w:hint="default" w:ascii="仿宋_GB2312" w:eastAsia="仿宋_GB2312"/>
          <w:bCs/>
          <w:sz w:val="32"/>
          <w:szCs w:val="32"/>
          <w:highlight w:val="none"/>
          <w:lang w:val="en-US" w:eastAsia="zh-CN"/>
        </w:rPr>
      </w:pPr>
      <w:r>
        <w:rPr>
          <w:rFonts w:hint="eastAsia" w:ascii="仿宋_GB2312" w:eastAsia="仿宋_GB2312"/>
          <w:bCs/>
          <w:sz w:val="32"/>
          <w:szCs w:val="32"/>
          <w:highlight w:val="none"/>
          <w:lang w:val="en-US" w:eastAsia="zh-CN"/>
        </w:rPr>
        <w:t>①合同签订及时情况：单位于2</w:t>
      </w:r>
      <w:r>
        <w:rPr>
          <w:rFonts w:hint="eastAsia" w:ascii="仿宋_GB2312" w:eastAsia="仿宋_GB2312"/>
          <w:bCs/>
          <w:sz w:val="32"/>
          <w:szCs w:val="32"/>
          <w:highlight w:val="none"/>
        </w:rPr>
        <w:t>020年11月19日</w:t>
      </w:r>
      <w:r>
        <w:rPr>
          <w:rFonts w:hint="eastAsia" w:ascii="仿宋_GB2312" w:eastAsia="仿宋_GB2312"/>
          <w:bCs/>
          <w:sz w:val="32"/>
          <w:szCs w:val="32"/>
          <w:highlight w:val="none"/>
          <w:lang w:val="en-US" w:eastAsia="zh-CN"/>
        </w:rPr>
        <w:t>开展密集架采购会议</w:t>
      </w: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于</w:t>
      </w:r>
      <w:r>
        <w:rPr>
          <w:rFonts w:hint="eastAsia" w:ascii="仿宋_GB2312" w:eastAsia="仿宋_GB2312"/>
          <w:bCs/>
          <w:sz w:val="32"/>
          <w:szCs w:val="32"/>
          <w:highlight w:val="none"/>
        </w:rPr>
        <w:t>2020年11月20日签订合同</w:t>
      </w:r>
      <w:r>
        <w:rPr>
          <w:rFonts w:hint="eastAsia" w:ascii="仿宋_GB2312" w:eastAsia="仿宋_GB2312"/>
          <w:bCs/>
          <w:sz w:val="32"/>
          <w:szCs w:val="32"/>
          <w:highlight w:val="none"/>
          <w:lang w:eastAsia="zh-CN"/>
        </w:rPr>
        <w:t>，</w:t>
      </w:r>
      <w:r>
        <w:rPr>
          <w:rFonts w:hint="eastAsia" w:ascii="仿宋_GB2312" w:eastAsia="仿宋_GB2312"/>
          <w:bCs/>
          <w:sz w:val="32"/>
          <w:szCs w:val="32"/>
          <w:highlight w:val="none"/>
          <w:lang w:val="en-US" w:eastAsia="zh-CN"/>
        </w:rPr>
        <w:t>项目合同签订及时；</w:t>
      </w:r>
    </w:p>
    <w:p>
      <w:pPr>
        <w:spacing w:line="360" w:lineRule="auto"/>
        <w:ind w:firstLine="640" w:firstLineChars="200"/>
        <w:rPr>
          <w:rFonts w:hint="eastAsia" w:ascii="仿宋_GB2312" w:eastAsia="仿宋_GB2312"/>
          <w:bCs/>
          <w:sz w:val="32"/>
          <w:szCs w:val="32"/>
          <w:highlight w:val="none"/>
          <w:lang w:val="en-US" w:eastAsia="zh-CN"/>
        </w:rPr>
      </w:pPr>
      <w:r>
        <w:rPr>
          <w:rFonts w:hint="eastAsia" w:ascii="仿宋_GB2312" w:eastAsia="仿宋_GB2312"/>
          <w:bCs/>
          <w:sz w:val="32"/>
          <w:szCs w:val="32"/>
          <w:highlight w:val="none"/>
          <w:lang w:val="en-US" w:eastAsia="zh-CN"/>
        </w:rPr>
        <w:t>②供货及时情况：供货方于</w:t>
      </w:r>
      <w:r>
        <w:rPr>
          <w:rFonts w:hint="eastAsia" w:ascii="仿宋_GB2312" w:eastAsia="仿宋_GB2312"/>
          <w:bCs/>
          <w:sz w:val="32"/>
          <w:szCs w:val="32"/>
          <w:highlight w:val="none"/>
        </w:rPr>
        <w:t>合同签订后3日内完成</w:t>
      </w:r>
      <w:r>
        <w:rPr>
          <w:rFonts w:hint="eastAsia" w:ascii="仿宋_GB2312" w:eastAsia="仿宋_GB2312"/>
          <w:bCs/>
          <w:sz w:val="32"/>
          <w:szCs w:val="32"/>
          <w:highlight w:val="none"/>
          <w:lang w:eastAsia="zh-CN"/>
        </w:rPr>
        <w:t>了</w:t>
      </w:r>
      <w:r>
        <w:rPr>
          <w:rFonts w:hint="eastAsia" w:ascii="仿宋_GB2312" w:eastAsia="仿宋_GB2312"/>
          <w:bCs/>
          <w:sz w:val="32"/>
          <w:szCs w:val="32"/>
          <w:highlight w:val="none"/>
        </w:rPr>
        <w:t>供货，项目供货</w:t>
      </w:r>
      <w:r>
        <w:rPr>
          <w:rFonts w:hint="eastAsia" w:ascii="仿宋_GB2312" w:eastAsia="仿宋_GB2312"/>
          <w:bCs/>
          <w:sz w:val="32"/>
          <w:szCs w:val="32"/>
          <w:highlight w:val="none"/>
          <w:lang w:val="en-US" w:eastAsia="zh-CN"/>
        </w:rPr>
        <w:t>及时；</w:t>
      </w:r>
    </w:p>
    <w:p>
      <w:pPr>
        <w:spacing w:line="360" w:lineRule="auto"/>
        <w:ind w:firstLine="640" w:firstLineChars="200"/>
        <w:rPr>
          <w:rFonts w:hint="eastAsia" w:ascii="仿宋_GB2312" w:eastAsia="仿宋_GB2312"/>
          <w:bCs/>
          <w:sz w:val="32"/>
          <w:szCs w:val="32"/>
          <w:highlight w:val="none"/>
          <w:lang w:val="en-US" w:eastAsia="zh-CN"/>
        </w:rPr>
      </w:pPr>
      <w:r>
        <w:rPr>
          <w:rFonts w:hint="eastAsia" w:ascii="仿宋_GB2312" w:eastAsia="仿宋_GB2312"/>
          <w:bCs/>
          <w:sz w:val="32"/>
          <w:szCs w:val="32"/>
          <w:highlight w:val="none"/>
          <w:lang w:val="en-US" w:eastAsia="zh-CN"/>
        </w:rPr>
        <w:t>③投入使用及时情况：经询问单位管理人员，密集架已于2020年12月4日开始投入使用，投入使用情况及时。</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w:t>
      </w:r>
      <w:r>
        <w:rPr>
          <w:rStyle w:val="46"/>
          <w:rFonts w:hAnsi="Mongolian Baiti" w:cs="Mongolian Baiti"/>
          <w:color w:val="000000" w:themeColor="text1"/>
          <w:highlight w:val="none"/>
          <w14:textFill>
            <w14:solidFill>
              <w14:schemeClr w14:val="tx1"/>
            </w14:solidFill>
          </w14:textFill>
        </w:rPr>
        <w:t>4</w:t>
      </w:r>
      <w:r>
        <w:rPr>
          <w:rStyle w:val="46"/>
          <w:rFonts w:hint="default" w:hAnsi="Mongolian Baiti" w:cs="Mongolian Baiti"/>
          <w:color w:val="000000" w:themeColor="text1"/>
          <w:highlight w:val="none"/>
          <w14:textFill>
            <w14:solidFill>
              <w14:schemeClr w14:val="tx1"/>
            </w14:solidFill>
          </w14:textFill>
        </w:rPr>
        <w:t>）产出成本</w:t>
      </w:r>
    </w:p>
    <w:p>
      <w:pPr>
        <w:spacing w:line="360" w:lineRule="auto"/>
        <w:ind w:firstLine="640" w:firstLineChars="200"/>
        <w:rPr>
          <w:rStyle w:val="46"/>
          <w:rFonts w:hint="default"/>
          <w:bCs/>
          <w:highlight w:val="none"/>
        </w:rPr>
      </w:pPr>
      <w:r>
        <w:rPr>
          <w:rStyle w:val="46"/>
          <w:bCs/>
          <w:highlight w:val="none"/>
        </w:rPr>
        <w:t>单位根据“三重一大”制度要求进行集体会议讨论，并通过三方询价</w:t>
      </w:r>
      <w:r>
        <w:rPr>
          <w:rStyle w:val="46"/>
          <w:rFonts w:hint="eastAsia" w:eastAsia="仿宋_GB2312"/>
          <w:bCs/>
          <w:highlight w:val="none"/>
          <w:lang w:val="en-US" w:eastAsia="zh-CN"/>
        </w:rPr>
        <w:t>的程序</w:t>
      </w:r>
      <w:r>
        <w:rPr>
          <w:rStyle w:val="46"/>
          <w:bCs/>
          <w:highlight w:val="none"/>
        </w:rPr>
        <w:t>从3家供货商中选择价格最低、质量最佳、服务最优的商家，从而达到节省开支、控制成本的目的。</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4.效果情况分析</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本项目效果包括经济效益、社会效益、可持续性影响和服务对象满意度</w:t>
      </w:r>
      <w:r>
        <w:rPr>
          <w:rStyle w:val="46"/>
          <w:rFonts w:hAnsi="Mongolian Baiti" w:cs="Mongolian Baiti"/>
          <w:color w:val="000000" w:themeColor="text1"/>
          <w:highlight w:val="none"/>
          <w14:textFill>
            <w14:solidFill>
              <w14:schemeClr w14:val="tx1"/>
            </w14:solidFill>
          </w14:textFill>
        </w:rPr>
        <w:t>4</w:t>
      </w:r>
      <w:r>
        <w:rPr>
          <w:rStyle w:val="46"/>
          <w:rFonts w:hint="default" w:hAnsi="Mongolian Baiti" w:cs="Mongolian Baiti"/>
          <w:color w:val="000000" w:themeColor="text1"/>
          <w:highlight w:val="none"/>
          <w14:textFill>
            <w14:solidFill>
              <w14:schemeClr w14:val="tx1"/>
            </w14:solidFill>
          </w14:textFill>
        </w:rPr>
        <w:t>个方面。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Style w:val="46"/>
          <w:rFonts w:hint="default"/>
          <w:highlight w:val="none"/>
        </w:rPr>
      </w:pPr>
      <w:r>
        <w:rPr>
          <w:rStyle w:val="46"/>
          <w:rFonts w:hint="default" w:hAnsi="Mongolian Baiti" w:cs="Mongolian Baiti"/>
          <w:color w:val="000000" w:themeColor="text1"/>
          <w:highlight w:val="none"/>
          <w14:textFill>
            <w14:solidFill>
              <w14:schemeClr w14:val="tx1"/>
            </w14:solidFill>
          </w14:textFill>
        </w:rPr>
        <w:t>（1）</w:t>
      </w:r>
      <w:r>
        <w:rPr>
          <w:rStyle w:val="46"/>
          <w:rFonts w:hint="default"/>
          <w:highlight w:val="none"/>
        </w:rPr>
        <w:t>经济效益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Style w:val="46"/>
          <w:rFonts w:hint="default"/>
          <w:highlight w:val="none"/>
        </w:rPr>
      </w:pPr>
      <w:r>
        <w:rPr>
          <w:rStyle w:val="46"/>
          <w:rFonts w:hint="eastAsia" w:eastAsia="仿宋_GB2312"/>
          <w:highlight w:val="none"/>
          <w:lang w:val="en-US" w:eastAsia="zh-CN"/>
        </w:rPr>
        <w:t>通过</w:t>
      </w:r>
      <w:r>
        <w:rPr>
          <w:rStyle w:val="46"/>
          <w:rFonts w:hint="default"/>
          <w:highlight w:val="none"/>
        </w:rPr>
        <w:t>项目的实施，为勐海县</w:t>
      </w:r>
      <w:r>
        <w:rPr>
          <w:rStyle w:val="46"/>
          <w:highlight w:val="none"/>
        </w:rPr>
        <w:t>国有退休人员管理</w:t>
      </w:r>
      <w:r>
        <w:rPr>
          <w:rStyle w:val="46"/>
          <w:rFonts w:hint="default"/>
          <w:highlight w:val="none"/>
        </w:rPr>
        <w:t>作出重大贡献，</w:t>
      </w:r>
      <w:r>
        <w:rPr>
          <w:rStyle w:val="46"/>
          <w:rFonts w:hint="eastAsia" w:eastAsia="仿宋_GB2312"/>
          <w:highlight w:val="none"/>
          <w:lang w:val="en-US" w:eastAsia="zh-CN"/>
        </w:rPr>
        <w:t>同时可</w:t>
      </w:r>
      <w:r>
        <w:rPr>
          <w:rStyle w:val="46"/>
          <w:highlight w:val="none"/>
        </w:rPr>
        <w:t>带动供货商经济，解决退休人员档案收放问题，有效提高退休人员档案管理，有效提高日常工作效率。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Style w:val="46"/>
          <w:rFonts w:hint="default"/>
          <w:highlight w:val="none"/>
        </w:rPr>
      </w:pPr>
      <w:r>
        <w:rPr>
          <w:rStyle w:val="46"/>
          <w:rFonts w:hint="default"/>
          <w:highlight w:val="none"/>
        </w:rPr>
        <w:t>（2）社会效益</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Style w:val="46"/>
          <w:rFonts w:hint="default"/>
          <w:highlight w:val="none"/>
        </w:rPr>
      </w:pPr>
      <w:r>
        <w:rPr>
          <w:rStyle w:val="46"/>
          <w:rFonts w:hint="default"/>
          <w:highlight w:val="none"/>
        </w:rPr>
        <w:t>通过项目的实施，有效改善</w:t>
      </w:r>
      <w:r>
        <w:rPr>
          <w:rStyle w:val="46"/>
          <w:highlight w:val="none"/>
        </w:rPr>
        <w:t>退休人员档案规范问题</w:t>
      </w:r>
      <w:r>
        <w:rPr>
          <w:rStyle w:val="46"/>
          <w:rFonts w:hint="default"/>
          <w:highlight w:val="none"/>
        </w:rPr>
        <w:t>；</w:t>
      </w:r>
      <w:r>
        <w:rPr>
          <w:rStyle w:val="46"/>
          <w:highlight w:val="none"/>
        </w:rPr>
        <w:t>充分利用密集架</w:t>
      </w:r>
      <w:r>
        <w:rPr>
          <w:rStyle w:val="46"/>
          <w:rFonts w:hint="default"/>
          <w:highlight w:val="none"/>
        </w:rPr>
        <w:t>使其发挥最大效益，</w:t>
      </w:r>
      <w:r>
        <w:rPr>
          <w:rStyle w:val="46"/>
          <w:highlight w:val="none"/>
        </w:rPr>
        <w:t>推动勐海县退休人员社会化管理，解决退休人员档案管理问题。</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Style w:val="46"/>
          <w:rFonts w:hint="default"/>
          <w:highlight w:val="none"/>
        </w:rPr>
      </w:pPr>
      <w:r>
        <w:rPr>
          <w:rStyle w:val="46"/>
          <w:rFonts w:hint="default"/>
          <w:highlight w:val="none"/>
        </w:rPr>
        <w:t>（</w:t>
      </w:r>
      <w:r>
        <w:rPr>
          <w:rStyle w:val="46"/>
          <w:highlight w:val="none"/>
        </w:rPr>
        <w:t>3</w:t>
      </w:r>
      <w:r>
        <w:rPr>
          <w:rStyle w:val="46"/>
          <w:rFonts w:hint="default"/>
          <w:highlight w:val="none"/>
        </w:rPr>
        <w:t>）可持续性影响</w:t>
      </w:r>
    </w:p>
    <w:p>
      <w:pPr>
        <w:spacing w:line="360" w:lineRule="auto"/>
        <w:ind w:firstLine="640" w:firstLineChars="200"/>
        <w:rPr>
          <w:rStyle w:val="46"/>
          <w:rFonts w:hint="default" w:hAnsi="Mongolian Baiti" w:eastAsia="仿宋_GB2312" w:cs="Mongolian Baiti"/>
          <w:color w:val="000000" w:themeColor="text1"/>
          <w:highlight w:val="none"/>
          <w:lang w:val="en-US" w:eastAsia="zh-CN"/>
          <w14:textFill>
            <w14:solidFill>
              <w14:schemeClr w14:val="tx1"/>
            </w14:solidFill>
          </w14:textFill>
        </w:rPr>
      </w:pPr>
      <w:r>
        <w:rPr>
          <w:rStyle w:val="46"/>
          <w:rFonts w:hint="default" w:hAnsi="Mongolian Baiti" w:cs="Mongolian Baiti"/>
          <w:highlight w:val="none"/>
        </w:rPr>
        <w:t>项目的实施实现</w:t>
      </w:r>
      <w:r>
        <w:rPr>
          <w:rStyle w:val="46"/>
          <w:rFonts w:hAnsi="Mongolian Baiti" w:cs="Mongolian Baiti"/>
          <w:highlight w:val="none"/>
        </w:rPr>
        <w:t>档案存放</w:t>
      </w:r>
      <w:r>
        <w:rPr>
          <w:rStyle w:val="46"/>
          <w:rFonts w:hint="default" w:hAnsi="Mongolian Baiti" w:cs="Mongolian Baiti"/>
          <w:highlight w:val="none"/>
        </w:rPr>
        <w:t>的合理配置，</w:t>
      </w:r>
      <w:r>
        <w:rPr>
          <w:rStyle w:val="46"/>
          <w:rFonts w:hAnsi="Mongolian Baiti" w:cs="Mongolian Baiti"/>
          <w:highlight w:val="none"/>
        </w:rPr>
        <w:t>节约档案室空间，</w:t>
      </w:r>
      <w:r>
        <w:rPr>
          <w:rStyle w:val="46"/>
          <w:rFonts w:hint="default" w:hAnsi="Mongolian Baiti" w:cs="Mongolian Baiti"/>
          <w:highlight w:val="none"/>
        </w:rPr>
        <w:t>为有限的土地发挥最大的经济和社会效</w:t>
      </w:r>
      <w:r>
        <w:rPr>
          <w:rStyle w:val="46"/>
          <w:rFonts w:hAnsi="Mongolian Baiti" w:cs="Mongolian Baiti"/>
          <w:highlight w:val="none"/>
        </w:rPr>
        <w:t>益</w:t>
      </w:r>
      <w:r>
        <w:rPr>
          <w:rStyle w:val="46"/>
          <w:rFonts w:hint="default" w:hAnsi="Mongolian Baiti" w:cs="Mongolian Baiti"/>
          <w:highlight w:val="none"/>
        </w:rPr>
        <w:t>创造条件，持续发挥对</w:t>
      </w:r>
      <w:r>
        <w:rPr>
          <w:rStyle w:val="46"/>
          <w:rFonts w:hAnsi="Mongolian Baiti" w:cs="Mongolian Baiti"/>
          <w:highlight w:val="none"/>
        </w:rPr>
        <w:t>退休人员社会化管理</w:t>
      </w:r>
      <w:r>
        <w:rPr>
          <w:rStyle w:val="46"/>
          <w:rFonts w:hint="default" w:hAnsi="Mongolian Baiti" w:cs="Mongolian Baiti"/>
          <w:highlight w:val="none"/>
        </w:rPr>
        <w:t>的推动作用；推动退休人员档案接收工作</w:t>
      </w:r>
      <w:r>
        <w:rPr>
          <w:rStyle w:val="46"/>
          <w:rFonts w:hAnsi="Mongolian Baiti" w:cs="Mongolian Baiti"/>
          <w:highlight w:val="none"/>
        </w:rPr>
        <w:t>，支持政府工作持续发展</w:t>
      </w:r>
      <w:r>
        <w:rPr>
          <w:rStyle w:val="46"/>
          <w:rFonts w:hint="default" w:hAnsi="Mongolian Baiti" w:cs="Mongolian Baiti"/>
          <w:color w:val="000000" w:themeColor="text1"/>
          <w:highlight w:val="none"/>
          <w14:textFill>
            <w14:solidFill>
              <w14:schemeClr w14:val="tx1"/>
            </w14:solidFill>
          </w14:textFill>
        </w:rPr>
        <w:t>。</w:t>
      </w:r>
      <w:r>
        <w:rPr>
          <w:rStyle w:val="46"/>
          <w:rFonts w:hint="eastAsia" w:hAnsi="Mongolian Baiti" w:eastAsia="仿宋_GB2312" w:cs="Mongolian Baiti"/>
          <w:color w:val="000000" w:themeColor="text1"/>
          <w:highlight w:val="none"/>
          <w:lang w:val="en-US" w:eastAsia="zh-CN"/>
          <w14:textFill>
            <w14:solidFill>
              <w14:schemeClr w14:val="tx1"/>
            </w14:solidFill>
          </w14:textFill>
        </w:rPr>
        <w:t>同时，密集架已纳入单位固定资产管理，具有一定可持续性。</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w:t>
      </w:r>
      <w:r>
        <w:rPr>
          <w:rStyle w:val="46"/>
          <w:rFonts w:hAnsi="Mongolian Baiti" w:cs="Mongolian Baiti"/>
          <w:color w:val="000000" w:themeColor="text1"/>
          <w:highlight w:val="none"/>
          <w14:textFill>
            <w14:solidFill>
              <w14:schemeClr w14:val="tx1"/>
            </w14:solidFill>
          </w14:textFill>
        </w:rPr>
        <w:t>4</w:t>
      </w:r>
      <w:r>
        <w:rPr>
          <w:rStyle w:val="46"/>
          <w:rFonts w:hint="default" w:hAnsi="Mongolian Baiti" w:cs="Mongolian Baiti"/>
          <w:color w:val="000000" w:themeColor="text1"/>
          <w:highlight w:val="none"/>
          <w14:textFill>
            <w14:solidFill>
              <w14:schemeClr w14:val="tx1"/>
            </w14:solidFill>
          </w14:textFill>
        </w:rPr>
        <w:t>）受益对象满意度</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ighlight w:val="none"/>
        </w:rPr>
        <w:t>评价组采用问卷调查的方式，对项目建设直接受益对象进行满意度调查，共发放调查问卷15份，收回有效问卷15份。根据调查问卷及电话访谈结果分析，</w:t>
      </w:r>
      <w:r>
        <w:rPr>
          <w:rFonts w:hint="eastAsia" w:ascii="仿宋_GB2312" w:hAnsi="仿宋" w:eastAsia="仿宋_GB2312"/>
          <w:color w:val="000000"/>
          <w:sz w:val="32"/>
          <w:szCs w:val="32"/>
          <w:highlight w:val="none"/>
        </w:rPr>
        <w:t>对勐海县国有企业退休人员社会化管理县级财政补助资金项目“非常满意”的14份、“满意”的1份、“一般”的0份</w:t>
      </w:r>
      <w:r>
        <w:rPr>
          <w:rStyle w:val="46"/>
          <w:rFonts w:hint="default"/>
          <w:highlight w:val="none"/>
        </w:rPr>
        <w:t>。</w:t>
      </w:r>
      <w:r>
        <w:rPr>
          <w:rStyle w:val="46"/>
          <w:rFonts w:hint="default" w:hAnsi="Mongolian Baiti" w:cs="Mongolian Baiti"/>
          <w:color w:val="000000" w:themeColor="text1"/>
          <w:highlight w:val="none"/>
          <w14:textFill>
            <w14:solidFill>
              <w14:schemeClr w14:val="tx1"/>
            </w14:solidFill>
          </w14:textFill>
        </w:rPr>
        <w:t>经统计项目受益对象综合满意度为</w:t>
      </w:r>
      <w:r>
        <w:rPr>
          <w:rStyle w:val="46"/>
          <w:rFonts w:hint="eastAsia" w:hAnsi="Mongolian Baiti" w:eastAsia="仿宋_GB2312" w:cs="Mongolian Baiti"/>
          <w:color w:val="000000" w:themeColor="text1"/>
          <w:highlight w:val="none"/>
          <w:lang w:val="en-US" w:eastAsia="zh-CN"/>
          <w14:textFill>
            <w14:solidFill>
              <w14:schemeClr w14:val="tx1"/>
            </w14:solidFill>
          </w14:textFill>
        </w:rPr>
        <w:t>98.00</w:t>
      </w:r>
      <w:r>
        <w:rPr>
          <w:rStyle w:val="46"/>
          <w:rFonts w:hint="default"/>
          <w:highlight w:val="none"/>
        </w:rPr>
        <w:t>%</w:t>
      </w:r>
      <w:r>
        <w:rPr>
          <w:rStyle w:val="46"/>
          <w:rFonts w:hint="default" w:hAnsi="Mongolian Baiti" w:cs="Mongolian Baiti"/>
          <w:color w:val="000000" w:themeColor="text1"/>
          <w:highlight w:val="none"/>
          <w14:textFill>
            <w14:solidFill>
              <w14:schemeClr w14:val="tx1"/>
            </w14:solidFill>
          </w14:textFill>
        </w:rPr>
        <w:t>。</w:t>
      </w:r>
    </w:p>
    <w:p>
      <w:pPr>
        <w:pStyle w:val="5"/>
        <w:spacing w:before="0" w:after="0" w:line="360" w:lineRule="auto"/>
        <w:ind w:firstLine="643" w:firstLineChars="200"/>
        <w:rPr>
          <w:rFonts w:ascii="仿宋_GB2312" w:hAnsi="方正楷体_GBK" w:eastAsia="仿宋_GB2312" w:cs="方正楷体_GBK"/>
          <w:color w:val="000000" w:themeColor="text1"/>
          <w:highlight w:val="none"/>
          <w:lang w:val="zh-CN"/>
          <w14:textFill>
            <w14:solidFill>
              <w14:schemeClr w14:val="tx1"/>
            </w14:solidFill>
          </w14:textFill>
        </w:rPr>
      </w:pPr>
      <w:bookmarkStart w:id="11" w:name="_Toc27566"/>
      <w:r>
        <w:rPr>
          <w:rFonts w:hint="eastAsia" w:ascii="楷体_GB2312" w:hAnsi="华文楷体" w:eastAsia="楷体_GB2312" w:cs="Times New Roman"/>
          <w:color w:val="000000" w:themeColor="text1"/>
          <w:highlight w:val="none"/>
          <w14:textFill>
            <w14:solidFill>
              <w14:schemeClr w14:val="tx1"/>
            </w14:solidFill>
          </w14:textFill>
        </w:rPr>
        <w:t>（二）评价结论</w:t>
      </w:r>
      <w:bookmarkEnd w:id="11"/>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1.评分结果</w:t>
      </w:r>
    </w:p>
    <w:p>
      <w:pPr>
        <w:spacing w:line="360" w:lineRule="auto"/>
        <w:ind w:firstLine="640" w:firstLineChars="200"/>
        <w:rPr>
          <w:rFonts w:ascii="仿宋_GB2312" w:eastAsia="仿宋_GB2312"/>
          <w:color w:val="000000" w:themeColor="text1"/>
          <w:sz w:val="32"/>
          <w:szCs w:val="32"/>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依据项目绩效评价计分方法，项目满分100分，经评价组评价打分，项目综合得分</w:t>
      </w:r>
      <w:r>
        <w:rPr>
          <w:rStyle w:val="46"/>
          <w:rFonts w:hint="eastAsia" w:hAnsi="Mongolian Baiti" w:eastAsia="仿宋_GB2312" w:cs="Mongolian Baiti"/>
          <w:color w:val="000000" w:themeColor="text1"/>
          <w:highlight w:val="none"/>
          <w:lang w:val="en-US" w:eastAsia="zh-CN"/>
          <w14:textFill>
            <w14:solidFill>
              <w14:schemeClr w14:val="tx1"/>
            </w14:solidFill>
          </w14:textFill>
        </w:rPr>
        <w:t>85.18</w:t>
      </w:r>
      <w:r>
        <w:rPr>
          <w:rStyle w:val="46"/>
          <w:rFonts w:hint="default" w:hAnsi="Mongolian Baiti" w:cs="Mongolian Baiti"/>
          <w:color w:val="000000" w:themeColor="text1"/>
          <w:highlight w:val="none"/>
          <w14:textFill>
            <w14:solidFill>
              <w14:schemeClr w14:val="tx1"/>
            </w14:solidFill>
          </w14:textFill>
        </w:rPr>
        <w:t>分，评价等级为</w:t>
      </w:r>
      <w:r>
        <w:rPr>
          <w:rStyle w:val="46"/>
          <w:rFonts w:hAnsi="Mongolian Baiti" w:cs="Mongolian Baiti"/>
          <w:color w:val="000000" w:themeColor="text1"/>
          <w:highlight w:val="none"/>
          <w14:textFill>
            <w14:solidFill>
              <w14:schemeClr w14:val="tx1"/>
            </w14:solidFill>
          </w14:textFill>
        </w:rPr>
        <w:t>“良”</w:t>
      </w:r>
      <w:r>
        <w:rPr>
          <w:rStyle w:val="46"/>
          <w:rFonts w:hint="default" w:hAnsi="Mongolian Baiti" w:cs="Mongolian Baiti"/>
          <w:color w:val="000000" w:themeColor="text1"/>
          <w:highlight w:val="none"/>
          <w14:textFill>
            <w14:solidFill>
              <w14:schemeClr w14:val="tx1"/>
            </w14:solidFill>
          </w14:textFill>
        </w:rPr>
        <w:t>。一级指标得分情况详见下表：</w:t>
      </w:r>
    </w:p>
    <w:tbl>
      <w:tblPr>
        <w:tblStyle w:val="21"/>
        <w:tblW w:w="8760" w:type="dxa"/>
        <w:jc w:val="center"/>
        <w:tblInd w:w="0" w:type="dxa"/>
        <w:tblLayout w:type="fixed"/>
        <w:tblCellMar>
          <w:top w:w="0" w:type="dxa"/>
          <w:left w:w="108" w:type="dxa"/>
          <w:bottom w:w="0" w:type="dxa"/>
          <w:right w:w="108" w:type="dxa"/>
        </w:tblCellMar>
      </w:tblPr>
      <w:tblGrid>
        <w:gridCol w:w="8760"/>
      </w:tblGrid>
      <w:tr>
        <w:tblPrEx>
          <w:tblLayout w:type="fixed"/>
          <w:tblCellMar>
            <w:top w:w="0" w:type="dxa"/>
            <w:left w:w="108" w:type="dxa"/>
            <w:bottom w:w="0" w:type="dxa"/>
            <w:right w:w="108" w:type="dxa"/>
          </w:tblCellMar>
        </w:tblPrEx>
        <w:trPr>
          <w:trHeight w:val="461" w:hRule="atLeast"/>
          <w:jc w:val="center"/>
        </w:trPr>
        <w:tc>
          <w:tcPr>
            <w:tcW w:w="8760" w:type="dxa"/>
            <w:tcBorders>
              <w:top w:val="nil"/>
              <w:left w:val="nil"/>
              <w:bottom w:val="nil"/>
              <w:right w:val="nil"/>
            </w:tcBorders>
            <w:shd w:val="clear" w:color="auto" w:fill="auto"/>
            <w:vAlign w:val="center"/>
          </w:tcPr>
          <w:p>
            <w:pPr>
              <w:widowControl/>
              <w:spacing w:line="360" w:lineRule="auto"/>
              <w:jc w:val="center"/>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b/>
                <w:color w:val="000000" w:themeColor="text1"/>
                <w:sz w:val="32"/>
                <w:szCs w:val="32"/>
                <w:highlight w:val="none"/>
                <w14:textFill>
                  <w14:solidFill>
                    <w14:schemeClr w14:val="tx1"/>
                  </w14:solidFill>
                </w14:textFill>
              </w:rPr>
              <w:t>绩效评价得分情况表</w:t>
            </w:r>
          </w:p>
        </w:tc>
      </w:tr>
      <w:tr>
        <w:tblPrEx>
          <w:tblLayout w:type="fixed"/>
          <w:tblCellMar>
            <w:top w:w="0" w:type="dxa"/>
            <w:left w:w="108" w:type="dxa"/>
            <w:bottom w:w="0" w:type="dxa"/>
            <w:right w:w="108" w:type="dxa"/>
          </w:tblCellMar>
        </w:tblPrEx>
        <w:trPr>
          <w:trHeight w:val="2637" w:hRule="atLeast"/>
          <w:jc w:val="center"/>
        </w:trPr>
        <w:tc>
          <w:tcPr>
            <w:tcW w:w="8760" w:type="dxa"/>
            <w:tcBorders>
              <w:top w:val="nil"/>
              <w:left w:val="nil"/>
              <w:bottom w:val="nil"/>
              <w:right w:val="nil"/>
            </w:tcBorders>
            <w:shd w:val="clear" w:color="auto" w:fill="auto"/>
            <w:vAlign w:val="center"/>
          </w:tcPr>
          <w:tbl>
            <w:tblPr>
              <w:tblStyle w:val="21"/>
              <w:tblW w:w="8077" w:type="dxa"/>
              <w:jc w:val="center"/>
              <w:tblInd w:w="0" w:type="dxa"/>
              <w:tblLayout w:type="fixed"/>
              <w:tblCellMar>
                <w:top w:w="0" w:type="dxa"/>
                <w:left w:w="108" w:type="dxa"/>
                <w:bottom w:w="0" w:type="dxa"/>
                <w:right w:w="108" w:type="dxa"/>
              </w:tblCellMar>
            </w:tblPr>
            <w:tblGrid>
              <w:gridCol w:w="1933"/>
              <w:gridCol w:w="1836"/>
              <w:gridCol w:w="2148"/>
              <w:gridCol w:w="2160"/>
            </w:tblGrid>
            <w:tr>
              <w:tblPrEx>
                <w:tblLayout w:type="fixed"/>
                <w:tblCellMar>
                  <w:top w:w="0" w:type="dxa"/>
                  <w:left w:w="108" w:type="dxa"/>
                  <w:bottom w:w="0" w:type="dxa"/>
                  <w:right w:w="108" w:type="dxa"/>
                </w:tblCellMar>
              </w:tblPrEx>
              <w:trPr>
                <w:trHeight w:val="312" w:hRule="atLeast"/>
                <w:jc w:val="center"/>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指标分值</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评价得分</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得分率</w:t>
                  </w:r>
                </w:p>
              </w:tc>
            </w:tr>
            <w:tr>
              <w:tblPrEx>
                <w:tblLayout w:type="fixed"/>
                <w:tblCellMar>
                  <w:top w:w="0" w:type="dxa"/>
                  <w:left w:w="108" w:type="dxa"/>
                  <w:bottom w:w="0" w:type="dxa"/>
                  <w:right w:w="108" w:type="dxa"/>
                </w:tblCellMar>
              </w:tblPrEx>
              <w:trPr>
                <w:trHeight w:val="312" w:hRule="atLeast"/>
                <w:jc w:val="center"/>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决策</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 xml:space="preserve">12.00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80.00%</w:t>
                  </w:r>
                </w:p>
              </w:tc>
            </w:tr>
            <w:tr>
              <w:tblPrEx>
                <w:tblLayout w:type="fixed"/>
                <w:tblCellMar>
                  <w:top w:w="0" w:type="dxa"/>
                  <w:left w:w="108" w:type="dxa"/>
                  <w:bottom w:w="0" w:type="dxa"/>
                  <w:right w:w="108" w:type="dxa"/>
                </w:tblCellMar>
              </w:tblPrEx>
              <w:trPr>
                <w:trHeight w:val="312" w:hRule="atLeast"/>
                <w:jc w:val="center"/>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过程</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 xml:space="preserve">23.00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92.00%</w:t>
                  </w:r>
                </w:p>
              </w:tc>
            </w:tr>
            <w:tr>
              <w:tblPrEx>
                <w:tblLayout w:type="fixed"/>
                <w:tblCellMar>
                  <w:top w:w="0" w:type="dxa"/>
                  <w:left w:w="108" w:type="dxa"/>
                  <w:bottom w:w="0" w:type="dxa"/>
                  <w:right w:w="108" w:type="dxa"/>
                </w:tblCellMar>
              </w:tblPrEx>
              <w:trPr>
                <w:trHeight w:val="312" w:hRule="atLeast"/>
                <w:jc w:val="center"/>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产出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 xml:space="preserve">26.68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76.23%</w:t>
                  </w:r>
                </w:p>
              </w:tc>
            </w:tr>
            <w:tr>
              <w:tblPrEx>
                <w:tblLayout w:type="fixed"/>
                <w:tblCellMar>
                  <w:top w:w="0" w:type="dxa"/>
                  <w:left w:w="108" w:type="dxa"/>
                  <w:bottom w:w="0" w:type="dxa"/>
                  <w:right w:w="108" w:type="dxa"/>
                </w:tblCellMar>
              </w:tblPrEx>
              <w:trPr>
                <w:trHeight w:val="312" w:hRule="atLeast"/>
                <w:jc w:val="center"/>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效果</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 xml:space="preserve">20.00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100.00%</w:t>
                  </w:r>
                </w:p>
              </w:tc>
            </w:tr>
            <w:tr>
              <w:tblPrEx>
                <w:tblLayout w:type="fixed"/>
                <w:tblCellMar>
                  <w:top w:w="0" w:type="dxa"/>
                  <w:left w:w="108" w:type="dxa"/>
                  <w:bottom w:w="0" w:type="dxa"/>
                  <w:right w:w="108" w:type="dxa"/>
                </w:tblCellMar>
              </w:tblPrEx>
              <w:trPr>
                <w:trHeight w:val="142" w:hRule="atLeast"/>
                <w:jc w:val="center"/>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资料提供</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 xml:space="preserve">3.50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70.00%</w:t>
                  </w:r>
                </w:p>
              </w:tc>
            </w:tr>
            <w:tr>
              <w:tblPrEx>
                <w:tblLayout w:type="fixed"/>
                <w:tblCellMar>
                  <w:top w:w="0" w:type="dxa"/>
                  <w:left w:w="108" w:type="dxa"/>
                  <w:bottom w:w="0" w:type="dxa"/>
                  <w:right w:w="108" w:type="dxa"/>
                </w:tblCellMar>
              </w:tblPrEx>
              <w:trPr>
                <w:trHeight w:val="312" w:hRule="atLeast"/>
                <w:jc w:val="center"/>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合计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100</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 xml:space="preserve">85.18 </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color w:val="000000"/>
                      <w:sz w:val="20"/>
                      <w:szCs w:val="20"/>
                      <w:highlight w:val="none"/>
                    </w:rPr>
                  </w:pPr>
                  <w:r>
                    <w:rPr>
                      <w:rFonts w:hint="default" w:ascii="仿宋_GB2312" w:hAnsi="宋体" w:eastAsia="仿宋_GB2312" w:cs="仿宋_GB2312"/>
                      <w:b/>
                      <w:bCs/>
                      <w:i w:val="0"/>
                      <w:iCs w:val="0"/>
                      <w:color w:val="000000"/>
                      <w:kern w:val="0"/>
                      <w:sz w:val="20"/>
                      <w:szCs w:val="20"/>
                      <w:u w:val="none"/>
                      <w:lang w:val="en-US" w:eastAsia="zh-CN" w:bidi="ar"/>
                    </w:rPr>
                    <w:t>85.18%</w:t>
                  </w:r>
                </w:p>
              </w:tc>
            </w:tr>
          </w:tbl>
          <w:p>
            <w:pPr>
              <w:widowControl/>
              <w:rPr>
                <w:rFonts w:ascii="仿宋_GB2312" w:hAnsi="仿宋_GB2312" w:eastAsia="仿宋_GB2312" w:cs="宋体"/>
                <w:b/>
                <w:bCs/>
                <w:color w:val="000000" w:themeColor="text1"/>
                <w:kern w:val="0"/>
                <w:sz w:val="20"/>
                <w:szCs w:val="20"/>
                <w:highlight w:val="none"/>
                <w14:textFill>
                  <w14:solidFill>
                    <w14:schemeClr w14:val="tx1"/>
                  </w14:solidFill>
                </w14:textFill>
              </w:rPr>
            </w:pPr>
          </w:p>
        </w:tc>
      </w:tr>
    </w:tbl>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2.综合评价结论</w:t>
      </w:r>
    </w:p>
    <w:p>
      <w:pPr>
        <w:spacing w:line="360" w:lineRule="auto"/>
        <w:ind w:firstLine="640" w:firstLineChars="200"/>
        <w:rPr>
          <w:rStyle w:val="46"/>
          <w:rFonts w:hint="default" w:eastAsia="仿宋_GB2312"/>
          <w:highlight w:val="none"/>
          <w:lang w:val="en-US" w:eastAsia="zh-CN"/>
        </w:rPr>
      </w:pPr>
      <w:r>
        <w:rPr>
          <w:rStyle w:val="46"/>
          <w:rFonts w:hint="default"/>
          <w:highlight w:val="none"/>
        </w:rPr>
        <w:t>勐海县国有企业退休人员社会化管理县级财政补助资金项目符合国家、政府既定的发展规划和目标要求，</w:t>
      </w:r>
      <w:r>
        <w:rPr>
          <w:rStyle w:val="46"/>
          <w:rFonts w:hint="eastAsia" w:eastAsia="仿宋_GB2312"/>
          <w:highlight w:val="none"/>
          <w:lang w:val="en-US" w:eastAsia="zh-CN"/>
        </w:rPr>
        <w:t>项目立项依据充分、合理；在</w:t>
      </w:r>
      <w:r>
        <w:rPr>
          <w:rStyle w:val="46"/>
          <w:rFonts w:hint="default" w:hAnsi="Mongolian Baiti" w:cs="Mongolian Baiti"/>
          <w:highlight w:val="none"/>
        </w:rPr>
        <w:t>项目实施过程中</w:t>
      </w:r>
      <w:r>
        <w:rPr>
          <w:rStyle w:val="46"/>
          <w:rFonts w:hint="eastAsia" w:hAnsi="Mongolian Baiti" w:eastAsia="仿宋_GB2312" w:cs="Mongolian Baiti"/>
          <w:highlight w:val="none"/>
          <w:lang w:val="en-US" w:eastAsia="zh-CN"/>
        </w:rPr>
        <w:t>单位</w:t>
      </w:r>
      <w:r>
        <w:rPr>
          <w:rStyle w:val="46"/>
          <w:rFonts w:hint="default" w:hAnsi="Mongolian Baiti" w:cs="Mongolian Baiti"/>
          <w:highlight w:val="none"/>
        </w:rPr>
        <w:t>基本能够按照要求进行了绩效目标申报，</w:t>
      </w:r>
      <w:r>
        <w:rPr>
          <w:rStyle w:val="46"/>
          <w:rFonts w:hint="eastAsia" w:hAnsi="Mongolian Baiti" w:eastAsia="仿宋_GB2312" w:cs="Mongolian Baiti"/>
          <w:highlight w:val="none"/>
          <w:lang w:val="en-US" w:eastAsia="zh-CN"/>
        </w:rPr>
        <w:t>基本</w:t>
      </w:r>
      <w:r>
        <w:rPr>
          <w:rStyle w:val="46"/>
          <w:rFonts w:hint="default" w:hAnsi="Mongolian Baiti" w:cs="Mongolian Baiti"/>
          <w:highlight w:val="none"/>
        </w:rPr>
        <w:t>能够按照相关文件及管理制度的要求组织项目实施</w:t>
      </w:r>
      <w:r>
        <w:rPr>
          <w:rStyle w:val="46"/>
          <w:rFonts w:hint="eastAsia" w:hAnsi="Mongolian Baiti" w:eastAsia="仿宋_GB2312" w:cs="Mongolian Baiti"/>
          <w:highlight w:val="none"/>
          <w:lang w:eastAsia="zh-CN"/>
        </w:rPr>
        <w:t>。</w:t>
      </w:r>
      <w:r>
        <w:rPr>
          <w:rStyle w:val="46"/>
          <w:rFonts w:hint="eastAsia" w:hAnsi="Mongolian Baiti" w:eastAsia="仿宋_GB2312" w:cs="Mongolian Baiti"/>
          <w:highlight w:val="none"/>
          <w:lang w:val="en-US" w:eastAsia="zh-CN"/>
        </w:rPr>
        <w:t>同时，通过三方询价的方式确定供货单位，一定程度上控制了成本；</w:t>
      </w:r>
      <w:r>
        <w:rPr>
          <w:rStyle w:val="46"/>
          <w:rFonts w:hint="default" w:hAnsi="Mongolian Baiti" w:cs="Mongolian Baiti"/>
          <w:color w:val="000000" w:themeColor="text1"/>
          <w:highlight w:val="none"/>
          <w14:textFill>
            <w14:solidFill>
              <w14:schemeClr w14:val="tx1"/>
            </w14:solidFill>
          </w14:textFill>
        </w:rPr>
        <w:t>按财经法规及资金预算要求进行项目资金的管理和使用，履行了相应的项目管理及财务监管职责</w:t>
      </w:r>
      <w:r>
        <w:rPr>
          <w:rStyle w:val="46"/>
          <w:rFonts w:hint="eastAsia" w:hAnsi="Mongolian Baiti" w:eastAsia="仿宋_GB2312" w:cs="Mongolian Baiti"/>
          <w:color w:val="000000" w:themeColor="text1"/>
          <w:highlight w:val="none"/>
          <w:lang w:eastAsia="zh-CN"/>
          <w14:textFill>
            <w14:solidFill>
              <w14:schemeClr w14:val="tx1"/>
            </w14:solidFill>
          </w14:textFill>
        </w:rPr>
        <w:t>。</w:t>
      </w:r>
      <w:r>
        <w:rPr>
          <w:rStyle w:val="46"/>
          <w:rFonts w:hint="eastAsia" w:hAnsi="Mongolian Baiti" w:eastAsia="仿宋_GB2312" w:cs="Mongolian Baiti"/>
          <w:color w:val="000000" w:themeColor="text1"/>
          <w:highlight w:val="none"/>
          <w:lang w:val="en-US" w:eastAsia="zh-CN"/>
          <w14:textFill>
            <w14:solidFill>
              <w14:schemeClr w14:val="tx1"/>
            </w14:solidFill>
          </w14:textFill>
        </w:rPr>
        <w:t>但在项目管理过程中仍然存在</w:t>
      </w:r>
      <w:r>
        <w:rPr>
          <w:rStyle w:val="46"/>
          <w:rFonts w:hint="eastAsia" w:eastAsia="仿宋_GB2312"/>
          <w:szCs w:val="32"/>
          <w:highlight w:val="none"/>
          <w:lang w:val="en-US" w:eastAsia="zh-CN"/>
        </w:rPr>
        <w:t>绩效指标设置不完整、未对绩效指标进行细化及量化等的问题。</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3.绩效目标实现情况</w:t>
      </w:r>
    </w:p>
    <w:p>
      <w:pPr>
        <w:spacing w:line="360" w:lineRule="auto"/>
        <w:ind w:firstLine="640" w:firstLineChars="200"/>
        <w:rPr>
          <w:rStyle w:val="46"/>
          <w:rFonts w:hint="default" w:hAnsi="Mongolian Baiti" w:cs="Mongolian Baiti"/>
          <w:bCs/>
          <w:color w:val="000000" w:themeColor="text1"/>
          <w:highlight w:val="none"/>
          <w14:textFill>
            <w14:solidFill>
              <w14:schemeClr w14:val="tx1"/>
            </w14:solidFill>
          </w14:textFill>
        </w:rPr>
      </w:pPr>
      <w:r>
        <w:rPr>
          <w:rStyle w:val="46"/>
          <w:rFonts w:hint="default" w:hAnsi="Mongolian Baiti" w:cs="Mongolian Baiti"/>
          <w:bCs/>
          <w:color w:val="000000" w:themeColor="text1"/>
          <w:highlight w:val="none"/>
          <w14:textFill>
            <w14:solidFill>
              <w14:schemeClr w14:val="tx1"/>
            </w14:solidFill>
          </w14:textFill>
        </w:rPr>
        <w:t>综上评价，</w:t>
      </w:r>
      <w:r>
        <w:rPr>
          <w:rStyle w:val="46"/>
          <w:rFonts w:hint="default" w:hAnsi="Mongolian Baiti" w:cs="Mongolian Baiti"/>
          <w:color w:val="000000" w:themeColor="text1"/>
          <w:highlight w:val="none"/>
          <w14:textFill>
            <w14:solidFill>
              <w14:schemeClr w14:val="tx1"/>
            </w14:solidFill>
          </w14:textFill>
        </w:rPr>
        <w:t>勐海县</w:t>
      </w:r>
      <w:r>
        <w:rPr>
          <w:rStyle w:val="46"/>
          <w:rFonts w:hint="default"/>
          <w:highlight w:val="none"/>
        </w:rPr>
        <w:t>国有企业退休人员社会化管理县级财政补助资金项目</w:t>
      </w:r>
      <w:r>
        <w:rPr>
          <w:rStyle w:val="46"/>
          <w:rFonts w:hint="default" w:hAnsi="Mongolian Baiti" w:cs="Mongolian Baiti"/>
          <w:bCs/>
          <w:color w:val="000000" w:themeColor="text1"/>
          <w:highlight w:val="none"/>
          <w14:textFill>
            <w14:solidFill>
              <w14:schemeClr w14:val="tx1"/>
            </w14:solidFill>
          </w14:textFill>
        </w:rPr>
        <w:t>制定绩效目标</w:t>
      </w:r>
      <w:r>
        <w:rPr>
          <w:rStyle w:val="46"/>
          <w:rFonts w:hint="eastAsia" w:hAnsi="Mongolian Baiti" w:eastAsia="仿宋_GB2312" w:cs="Mongolian Baiti"/>
          <w:bCs/>
          <w:color w:val="000000" w:themeColor="text1"/>
          <w:highlight w:val="none"/>
          <w:lang w:val="en-US" w:eastAsia="zh-CN"/>
          <w14:textFill>
            <w14:solidFill>
              <w14:schemeClr w14:val="tx1"/>
            </w14:solidFill>
          </w14:textFill>
        </w:rPr>
        <w:t>13</w:t>
      </w:r>
      <w:r>
        <w:rPr>
          <w:rStyle w:val="46"/>
          <w:rFonts w:hint="default" w:hAnsi="Mongolian Baiti" w:cs="Mongolian Baiti"/>
          <w:bCs/>
          <w:color w:val="000000" w:themeColor="text1"/>
          <w:highlight w:val="none"/>
          <w14:textFill>
            <w14:solidFill>
              <w14:schemeClr w14:val="tx1"/>
            </w14:solidFill>
          </w14:textFill>
        </w:rPr>
        <w:t>项，其中：已达标/已完成目标</w:t>
      </w:r>
      <w:r>
        <w:rPr>
          <w:rStyle w:val="46"/>
          <w:rFonts w:hint="eastAsia" w:hAnsi="Mongolian Baiti" w:eastAsia="仿宋_GB2312" w:cs="Mongolian Baiti"/>
          <w:bCs/>
          <w:color w:val="000000" w:themeColor="text1"/>
          <w:highlight w:val="none"/>
          <w:lang w:val="en-US" w:eastAsia="zh-CN"/>
          <w14:textFill>
            <w14:solidFill>
              <w14:schemeClr w14:val="tx1"/>
            </w14:solidFill>
          </w14:textFill>
        </w:rPr>
        <w:t>10</w:t>
      </w:r>
      <w:r>
        <w:rPr>
          <w:rStyle w:val="46"/>
          <w:rFonts w:hint="default" w:hAnsi="Mongolian Baiti" w:cs="Mongolian Baiti"/>
          <w:bCs/>
          <w:color w:val="000000" w:themeColor="text1"/>
          <w:highlight w:val="none"/>
          <w14:textFill>
            <w14:solidFill>
              <w14:schemeClr w14:val="tx1"/>
            </w14:solidFill>
          </w14:textFill>
        </w:rPr>
        <w:t>项；未达标/未完成</w:t>
      </w:r>
      <w:r>
        <w:rPr>
          <w:rStyle w:val="46"/>
          <w:rFonts w:hint="eastAsia" w:hAnsi="Mongolian Baiti" w:eastAsia="仿宋_GB2312" w:cs="Mongolian Baiti"/>
          <w:bCs/>
          <w:color w:val="000000" w:themeColor="text1"/>
          <w:highlight w:val="none"/>
          <w:lang w:val="en-US" w:eastAsia="zh-CN"/>
          <w14:textFill>
            <w14:solidFill>
              <w14:schemeClr w14:val="tx1"/>
            </w14:solidFill>
          </w14:textFill>
        </w:rPr>
        <w:t>3</w:t>
      </w:r>
      <w:r>
        <w:rPr>
          <w:rStyle w:val="46"/>
          <w:rFonts w:hint="default" w:hAnsi="Mongolian Baiti" w:cs="Mongolian Baiti"/>
          <w:bCs/>
          <w:color w:val="000000" w:themeColor="text1"/>
          <w:highlight w:val="none"/>
          <w14:textFill>
            <w14:solidFill>
              <w14:schemeClr w14:val="tx1"/>
            </w14:solidFill>
          </w14:textFill>
        </w:rPr>
        <w:t>项，具体评价情况为：</w:t>
      </w:r>
    </w:p>
    <w:p>
      <w:pPr>
        <w:spacing w:line="360" w:lineRule="auto"/>
        <w:rPr>
          <w:rStyle w:val="46"/>
          <w:rFonts w:hint="default" w:hAnsi="Mongolian Baiti" w:cs="Mongolian Baiti"/>
          <w:bCs/>
          <w:color w:val="000000" w:themeColor="text1"/>
          <w:highlight w:val="none"/>
          <w14:textFill>
            <w14:solidFill>
              <w14:schemeClr w14:val="tx1"/>
            </w14:solidFill>
          </w14:textFill>
        </w:rPr>
      </w:pPr>
      <w:r>
        <w:rPr>
          <w:highlight w:val="none"/>
        </w:rPr>
        <w:drawing>
          <wp:inline distT="0" distB="0" distL="114300" distR="114300">
            <wp:extent cx="5685790" cy="3878580"/>
            <wp:effectExtent l="0" t="0" r="381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685790" cy="3878580"/>
                    </a:xfrm>
                    <a:prstGeom prst="rect">
                      <a:avLst/>
                    </a:prstGeom>
                    <a:noFill/>
                    <a:ln>
                      <a:noFill/>
                    </a:ln>
                  </pic:spPr>
                </pic:pic>
              </a:graphicData>
            </a:graphic>
          </wp:inline>
        </w:drawing>
      </w:r>
    </w:p>
    <w:p>
      <w:pPr>
        <w:pStyle w:val="4"/>
        <w:spacing w:before="0" w:after="0" w:line="360" w:lineRule="auto"/>
        <w:ind w:firstLine="640" w:firstLineChars="200"/>
        <w:rPr>
          <w:rFonts w:ascii="黑体" w:hAnsi="黑体" w:eastAsia="黑体"/>
          <w:b w:val="0"/>
          <w:color w:val="000000" w:themeColor="text1"/>
          <w:sz w:val="32"/>
          <w:szCs w:val="32"/>
          <w:highlight w:val="none"/>
          <w14:textFill>
            <w14:solidFill>
              <w14:schemeClr w14:val="tx1"/>
            </w14:solidFill>
          </w14:textFill>
        </w:rPr>
      </w:pPr>
      <w:bookmarkStart w:id="12" w:name="_Toc16396"/>
      <w:r>
        <w:rPr>
          <w:rFonts w:hint="eastAsia" w:ascii="黑体" w:hAnsi="黑体" w:eastAsia="黑体"/>
          <w:b w:val="0"/>
          <w:color w:val="000000" w:themeColor="text1"/>
          <w:sz w:val="32"/>
          <w:szCs w:val="32"/>
          <w:highlight w:val="none"/>
          <w14:textFill>
            <w14:solidFill>
              <w14:schemeClr w14:val="tx1"/>
            </w14:solidFill>
          </w14:textFill>
        </w:rPr>
        <w:t>四、主要经验及做法</w:t>
      </w:r>
      <w:bookmarkEnd w:id="12"/>
    </w:p>
    <w:p>
      <w:pPr>
        <w:spacing w:line="360" w:lineRule="auto"/>
        <w:ind w:firstLine="640" w:firstLineChars="200"/>
        <w:rPr>
          <w:rStyle w:val="46"/>
          <w:rFonts w:hint="default" w:hAnsi="Mongolian Baiti" w:eastAsia="仿宋_GB2312" w:cs="Mongolian Baiti"/>
          <w:color w:val="000000" w:themeColor="text1"/>
          <w:highlight w:val="none"/>
          <w:lang w:val="en-US" w:eastAsia="zh-CN"/>
          <w14:textFill>
            <w14:solidFill>
              <w14:schemeClr w14:val="tx1"/>
            </w14:solidFill>
          </w14:textFill>
        </w:rPr>
      </w:pPr>
      <w:r>
        <w:rPr>
          <w:rStyle w:val="46"/>
          <w:rFonts w:hint="default" w:hAnsi="Mongolian Baiti" w:cs="Mongolian Baiti"/>
          <w:color w:val="000000" w:themeColor="text1"/>
          <w:highlight w:val="none"/>
          <w14:textFill>
            <w14:solidFill>
              <w14:schemeClr w14:val="tx1"/>
            </w14:solidFill>
          </w14:textFill>
        </w:rPr>
        <w:t>国有企业退休人员社会化管理县级财政补助资金项目</w:t>
      </w:r>
      <w:r>
        <w:rPr>
          <w:rStyle w:val="46"/>
          <w:rFonts w:hint="eastAsia" w:hAnsi="Mongolian Baiti" w:eastAsia="仿宋_GB2312" w:cs="Mongolian Baiti"/>
          <w:color w:val="000000" w:themeColor="text1"/>
          <w:highlight w:val="none"/>
          <w:lang w:val="en-US" w:eastAsia="zh-CN"/>
          <w14:textFill>
            <w14:solidFill>
              <w14:schemeClr w14:val="tx1"/>
            </w14:solidFill>
          </w14:textFill>
        </w:rPr>
        <w:t>在</w:t>
      </w:r>
      <w:r>
        <w:rPr>
          <w:rStyle w:val="46"/>
          <w:rFonts w:hAnsi="Mongolian Baiti" w:cs="Mongolian Baiti"/>
          <w:color w:val="000000" w:themeColor="text1"/>
          <w:highlight w:val="none"/>
          <w14:textFill>
            <w14:solidFill>
              <w14:schemeClr w14:val="tx1"/>
            </w14:solidFill>
          </w14:textFill>
        </w:rPr>
        <w:t>实施</w:t>
      </w:r>
      <w:r>
        <w:rPr>
          <w:rStyle w:val="46"/>
          <w:rFonts w:hint="default" w:hAnsi="Mongolian Baiti" w:cs="Mongolian Baiti"/>
          <w:color w:val="000000" w:themeColor="text1"/>
          <w:highlight w:val="none"/>
          <w14:textFill>
            <w14:solidFill>
              <w14:schemeClr w14:val="tx1"/>
            </w14:solidFill>
          </w14:textFill>
        </w:rPr>
        <w:t>过程中，中共勐海县委党史研究室</w:t>
      </w:r>
      <w:r>
        <w:rPr>
          <w:rStyle w:val="46"/>
          <w:rFonts w:hAnsi="Mongolian Baiti" w:cs="Mongolian Baiti"/>
          <w:color w:val="000000" w:themeColor="text1"/>
          <w:highlight w:val="none"/>
          <w14:textFill>
            <w14:solidFill>
              <w14:schemeClr w14:val="tx1"/>
            </w14:solidFill>
          </w14:textFill>
        </w:rPr>
        <w:t>积极组织单位各领导</w:t>
      </w:r>
      <w:r>
        <w:rPr>
          <w:rStyle w:val="46"/>
          <w:rFonts w:hint="eastAsia" w:hAnsi="Mongolian Baiti" w:eastAsia="仿宋_GB2312" w:cs="Mongolian Baiti"/>
          <w:color w:val="000000" w:themeColor="text1"/>
          <w:highlight w:val="none"/>
          <w:lang w:val="en-US" w:eastAsia="zh-CN"/>
          <w14:textFill>
            <w14:solidFill>
              <w14:schemeClr w14:val="tx1"/>
            </w14:solidFill>
          </w14:textFill>
        </w:rPr>
        <w:t>成员参与</w:t>
      </w:r>
      <w:r>
        <w:rPr>
          <w:rStyle w:val="46"/>
          <w:rFonts w:hAnsi="Mongolian Baiti" w:cs="Mongolian Baiti"/>
          <w:color w:val="000000" w:themeColor="text1"/>
          <w:highlight w:val="none"/>
          <w14:textFill>
            <w14:solidFill>
              <w14:schemeClr w14:val="tx1"/>
            </w14:solidFill>
          </w14:textFill>
        </w:rPr>
        <w:t>集体讨论决策</w:t>
      </w:r>
      <w:r>
        <w:rPr>
          <w:rStyle w:val="46"/>
          <w:rFonts w:hint="default" w:hAnsi="Mongolian Baiti" w:cs="Mongolian Baiti"/>
          <w:color w:val="000000" w:themeColor="text1"/>
          <w:highlight w:val="none"/>
          <w14:textFill>
            <w14:solidFill>
              <w14:schemeClr w14:val="tx1"/>
            </w14:solidFill>
          </w14:textFill>
        </w:rPr>
        <w:t>，</w:t>
      </w:r>
      <w:r>
        <w:rPr>
          <w:rStyle w:val="46"/>
          <w:rFonts w:hAnsi="Mongolian Baiti" w:cs="Mongolian Baiti"/>
          <w:color w:val="000000" w:themeColor="text1"/>
          <w:highlight w:val="none"/>
          <w14:textFill>
            <w14:solidFill>
              <w14:schemeClr w14:val="tx1"/>
            </w14:solidFill>
          </w14:textFill>
        </w:rPr>
        <w:t>并通过三方询价程序确定供货厂家，</w:t>
      </w:r>
      <w:r>
        <w:rPr>
          <w:rStyle w:val="46"/>
          <w:rFonts w:hint="default" w:hAnsi="Mongolian Baiti" w:cs="Mongolian Baiti"/>
          <w:color w:val="000000" w:themeColor="text1"/>
          <w:highlight w:val="none"/>
          <w14:textFill>
            <w14:solidFill>
              <w14:schemeClr w14:val="tx1"/>
            </w14:solidFill>
          </w14:textFill>
        </w:rPr>
        <w:t>有利于</w:t>
      </w:r>
      <w:r>
        <w:rPr>
          <w:rStyle w:val="46"/>
          <w:rFonts w:hint="eastAsia" w:hAnsi="Mongolian Baiti" w:eastAsia="仿宋_GB2312" w:cs="Mongolian Baiti"/>
          <w:color w:val="000000" w:themeColor="text1"/>
          <w:highlight w:val="none"/>
          <w:lang w:val="en-US" w:eastAsia="zh-CN"/>
          <w14:textFill>
            <w14:solidFill>
              <w14:schemeClr w14:val="tx1"/>
            </w14:solidFill>
          </w14:textFill>
        </w:rPr>
        <w:t>控制项目成本，保证了购置资产的质量；同时，单位安排专门人员负责密集架的采购验收工作，加快了项目实施进度，保障了密集架的及时投入。</w:t>
      </w:r>
    </w:p>
    <w:p>
      <w:pPr>
        <w:pStyle w:val="4"/>
        <w:spacing w:before="0" w:after="0" w:line="360" w:lineRule="auto"/>
        <w:ind w:firstLine="640" w:firstLineChars="200"/>
        <w:rPr>
          <w:rFonts w:ascii="仿宋_GB2312" w:hAnsi="方正黑体_GBK" w:eastAsia="仿宋_GB2312" w:cs="方正黑体_GBK"/>
          <w:color w:val="000000" w:themeColor="text1"/>
          <w:sz w:val="32"/>
          <w:szCs w:val="32"/>
          <w:highlight w:val="none"/>
          <w:lang w:val="zh-CN"/>
          <w14:textFill>
            <w14:solidFill>
              <w14:schemeClr w14:val="tx1"/>
            </w14:solidFill>
          </w14:textFill>
        </w:rPr>
      </w:pPr>
      <w:bookmarkStart w:id="13" w:name="_Toc26976"/>
      <w:r>
        <w:rPr>
          <w:rFonts w:hint="eastAsia" w:ascii="黑体" w:hAnsi="黑体" w:eastAsia="黑体"/>
          <w:b w:val="0"/>
          <w:color w:val="000000" w:themeColor="text1"/>
          <w:sz w:val="32"/>
          <w:szCs w:val="32"/>
          <w:highlight w:val="none"/>
          <w14:textFill>
            <w14:solidFill>
              <w14:schemeClr w14:val="tx1"/>
            </w14:solidFill>
          </w14:textFill>
        </w:rPr>
        <w:t>五、存在的问题和建议</w:t>
      </w:r>
      <w:bookmarkEnd w:id="13"/>
    </w:p>
    <w:p>
      <w:pPr>
        <w:pStyle w:val="5"/>
        <w:spacing w:before="0" w:after="0" w:line="360" w:lineRule="auto"/>
        <w:ind w:firstLine="643" w:firstLineChars="200"/>
        <w:rPr>
          <w:rFonts w:ascii="楷体_GB2312" w:eastAsia="楷体_GB2312" w:cs="Times New Roman"/>
          <w:color w:val="000000" w:themeColor="text1"/>
          <w:highlight w:val="none"/>
          <w14:textFill>
            <w14:solidFill>
              <w14:schemeClr w14:val="tx1"/>
            </w14:solidFill>
          </w14:textFill>
        </w:rPr>
      </w:pPr>
      <w:bookmarkStart w:id="14" w:name="_Toc5453"/>
      <w:r>
        <w:rPr>
          <w:rFonts w:hint="eastAsia" w:ascii="楷体_GB2312" w:eastAsia="楷体_GB2312" w:cs="Times New Roman"/>
          <w:color w:val="000000" w:themeColor="text1"/>
          <w:highlight w:val="none"/>
          <w14:textFill>
            <w14:solidFill>
              <w14:schemeClr w14:val="tx1"/>
            </w14:solidFill>
          </w14:textFill>
        </w:rPr>
        <w:t>（一）存在的问题</w:t>
      </w:r>
      <w:bookmarkEnd w:id="14"/>
    </w:p>
    <w:p>
      <w:pPr>
        <w:spacing w:line="360" w:lineRule="auto"/>
        <w:ind w:firstLine="640" w:firstLineChars="200"/>
        <w:rPr>
          <w:rStyle w:val="46"/>
          <w:rFonts w:hint="default" w:hAnsi="Mongolian Baiti" w:cs="Mongolian Baiti"/>
          <w:highlight w:val="none"/>
        </w:rPr>
      </w:pPr>
      <w:r>
        <w:rPr>
          <w:rStyle w:val="46"/>
          <w:rFonts w:hint="default" w:hAnsi="Mongolian Baiti" w:cs="Mongolian Baiti"/>
          <w:highlight w:val="none"/>
        </w:rPr>
        <w:t>1.项目绩效管理工作不到位</w:t>
      </w:r>
    </w:p>
    <w:p>
      <w:pPr>
        <w:spacing w:line="360" w:lineRule="auto"/>
        <w:ind w:firstLine="640" w:firstLineChars="200"/>
        <w:rPr>
          <w:rStyle w:val="46"/>
          <w:rFonts w:hint="eastAsia" w:hAnsi="Mongolian Baiti" w:eastAsia="仿宋_GB2312" w:cs="Mongolian Baiti"/>
          <w:highlight w:val="none"/>
          <w:lang w:val="en-US" w:eastAsia="zh-CN"/>
        </w:rPr>
      </w:pPr>
      <w:r>
        <w:rPr>
          <w:rStyle w:val="46"/>
          <w:rFonts w:hint="eastAsia" w:hAnsi="Mongolian Baiti" w:eastAsia="仿宋_GB2312" w:cs="Mongolian Baiti"/>
          <w:highlight w:val="none"/>
          <w:lang w:val="en-US" w:eastAsia="zh-CN"/>
        </w:rPr>
        <w:t>①项目未对指标进行细化及量化，如：绩效自评表中的数量指标为“人数=实现社会化管理的国有企业已退休人员移交”，未将绩效目标情况进行细化；满意度指标为“≥本集团所属企业的综合满意程度，企业满意度=问卷调查平均得分”，未明确具体满意度目标值；同时，未根据项目实际情况设置质量、社会效益等绩效指标，单位设置指标不完整。</w:t>
      </w:r>
    </w:p>
    <w:p>
      <w:pPr>
        <w:spacing w:line="360" w:lineRule="auto"/>
        <w:ind w:firstLine="640" w:firstLineChars="200"/>
        <w:rPr>
          <w:rFonts w:hint="eastAsia" w:ascii="仿宋_GB2312" w:hAnsi="宋体" w:eastAsia="仿宋_GB2312"/>
          <w:sz w:val="32"/>
          <w:szCs w:val="32"/>
          <w:highlight w:val="none"/>
        </w:rPr>
      </w:pPr>
      <w:r>
        <w:rPr>
          <w:rStyle w:val="46"/>
          <w:rFonts w:hint="eastAsia" w:hAnsi="Mongolian Baiti" w:eastAsia="仿宋_GB2312" w:cs="Mongolian Baiti"/>
          <w:highlight w:val="none"/>
          <w:lang w:val="en-US" w:eastAsia="zh-CN"/>
        </w:rPr>
        <w:t>②根据提供的《绩效自评表》，单位绩效目标总分值为120.00分，与</w:t>
      </w:r>
      <w:r>
        <w:rPr>
          <w:rFonts w:hint="eastAsia" w:ascii="仿宋_GB2312" w:hAnsi="宋体" w:eastAsia="仿宋_GB2312"/>
          <w:sz w:val="32"/>
          <w:szCs w:val="32"/>
          <w:highlight w:val="none"/>
        </w:rPr>
        <w:t>勐海县财政局关于《勐海县项目支出绩效评价管理实施办法的通知》（海财会监绩字〔2021〕2号）第十八条：“绩效评价结果采取评分和评级相结合的方式，具体分值和等级可根据不同评价内容设定。总分一般设置为100 分……”的规定</w:t>
      </w:r>
      <w:r>
        <w:rPr>
          <w:rFonts w:hint="eastAsia" w:ascii="仿宋_GB2312" w:hAnsi="宋体" w:eastAsia="仿宋_GB2312"/>
          <w:sz w:val="32"/>
          <w:szCs w:val="32"/>
          <w:highlight w:val="none"/>
          <w:lang w:val="en-US" w:eastAsia="zh-CN"/>
        </w:rPr>
        <w:t>不相符</w:t>
      </w:r>
      <w:r>
        <w:rPr>
          <w:rFonts w:hint="eastAsia" w:ascii="仿宋_GB2312" w:hAnsi="宋体" w:eastAsia="仿宋_GB2312"/>
          <w:sz w:val="32"/>
          <w:szCs w:val="32"/>
          <w:highlight w:val="none"/>
        </w:rPr>
        <w:t>。</w:t>
      </w:r>
    </w:p>
    <w:p>
      <w:pPr>
        <w:spacing w:line="360" w:lineRule="auto"/>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③补助测算人员无依据</w:t>
      </w:r>
    </w:p>
    <w:p>
      <w:pPr>
        <w:spacing w:line="360" w:lineRule="auto"/>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根据单位提供的《绩效申报表》，项目申报金额为119,860.00元，按照461人、260元/人的标准测算。经进一步核实，无法提供461人的相关证据资料，测算依据不充分。</w:t>
      </w:r>
    </w:p>
    <w:p>
      <w:pPr>
        <w:spacing w:line="360" w:lineRule="auto"/>
        <w:ind w:firstLine="640" w:firstLineChars="200"/>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2.单位制度制定简约</w:t>
      </w:r>
    </w:p>
    <w:p>
      <w:pPr>
        <w:spacing w:line="360" w:lineRule="auto"/>
        <w:ind w:firstLine="640" w:firstLineChars="200"/>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根据单位提供的《固定资产管理制度》，未对固定资产入账金额进行约定，单位制度内容过于简约。</w:t>
      </w:r>
    </w:p>
    <w:p>
      <w:pPr>
        <w:spacing w:line="360" w:lineRule="auto"/>
        <w:ind w:firstLine="640" w:firstLineChars="200"/>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3.项目档案资料管理不规范</w:t>
      </w:r>
    </w:p>
    <w:p>
      <w:pPr>
        <w:spacing w:line="360" w:lineRule="auto"/>
        <w:ind w:firstLine="640" w:firstLineChars="200"/>
        <w:rPr>
          <w:rFonts w:hint="default" w:ascii="仿宋_GB2312" w:hAnsi="仿宋" w:eastAsia="仿宋_GB2312"/>
          <w:color w:val="000000"/>
          <w:sz w:val="32"/>
          <w:szCs w:val="32"/>
          <w:highlight w:val="none"/>
          <w:lang w:val="en-US" w:eastAsia="zh-CN"/>
        </w:rPr>
      </w:pPr>
      <w:r>
        <w:rPr>
          <w:rFonts w:hint="eastAsia" w:ascii="仿宋_GB2312" w:eastAsia="仿宋_GB2312" w:cs="Courier New"/>
          <w:color w:val="000000" w:themeColor="text1"/>
          <w:kern w:val="0"/>
          <w:sz w:val="32"/>
          <w:szCs w:val="32"/>
          <w:highlight w:val="none"/>
          <w14:textFill>
            <w14:solidFill>
              <w14:schemeClr w14:val="tx1"/>
            </w14:solidFill>
          </w14:textFill>
        </w:rPr>
        <w:t>根据现场审计以及绩效资料提供情况，单位存在项目档案资料未归集、统一管理</w:t>
      </w:r>
      <w:r>
        <w:rPr>
          <w:rFonts w:hint="eastAsia" w:ascii="仿宋_GB2312" w:eastAsia="仿宋_GB2312" w:cs="Courier New"/>
          <w:color w:val="000000" w:themeColor="text1"/>
          <w:kern w:val="0"/>
          <w:sz w:val="32"/>
          <w:szCs w:val="32"/>
          <w:highlight w:val="none"/>
          <w:lang w:val="en-US" w:eastAsia="zh-CN"/>
          <w14:textFill>
            <w14:solidFill>
              <w14:schemeClr w14:val="tx1"/>
            </w14:solidFill>
          </w14:textFill>
        </w:rPr>
        <w:t>的情况，如：尚未提供密集架验收资料，未提供接收已故退休人员档案数量、接收退休党员档案数量资料，单位档案资料管理不规范。</w:t>
      </w:r>
    </w:p>
    <w:p>
      <w:pPr>
        <w:pStyle w:val="5"/>
        <w:spacing w:before="0" w:after="0" w:line="360" w:lineRule="auto"/>
        <w:ind w:firstLine="643" w:firstLineChars="200"/>
        <w:rPr>
          <w:rFonts w:ascii="仿宋_GB2312" w:hAnsi="方正楷体_GBK" w:eastAsia="仿宋_GB2312" w:cs="方正楷体_GBK"/>
          <w:color w:val="000000" w:themeColor="text1"/>
          <w:highlight w:val="none"/>
          <w:lang w:val="zh-CN"/>
          <w14:textFill>
            <w14:solidFill>
              <w14:schemeClr w14:val="tx1"/>
            </w14:solidFill>
          </w14:textFill>
        </w:rPr>
      </w:pPr>
      <w:bookmarkStart w:id="15" w:name="_Toc2106"/>
      <w:r>
        <w:rPr>
          <w:rFonts w:hint="eastAsia" w:ascii="楷体_GB2312" w:eastAsia="楷体_GB2312" w:cs="Times New Roman"/>
          <w:color w:val="000000" w:themeColor="text1"/>
          <w:highlight w:val="none"/>
          <w14:textFill>
            <w14:solidFill>
              <w14:schemeClr w14:val="tx1"/>
            </w14:solidFill>
          </w14:textFill>
        </w:rPr>
        <w:t>（二）建议和改进举措</w:t>
      </w:r>
      <w:bookmarkEnd w:id="15"/>
    </w:p>
    <w:p>
      <w:pPr>
        <w:spacing w:line="360" w:lineRule="auto"/>
        <w:ind w:firstLine="640" w:firstLineChars="200"/>
        <w:rPr>
          <w:rStyle w:val="46"/>
          <w:highlight w:val="none"/>
        </w:rPr>
      </w:pPr>
      <w:r>
        <w:rPr>
          <w:rStyle w:val="46"/>
          <w:rFonts w:hint="default" w:hAnsi="Mongolian Baiti" w:cs="Mongolian Baiti"/>
          <w:highlight w:val="none"/>
        </w:rPr>
        <w:t>1.建议项目主管部门</w:t>
      </w:r>
      <w:r>
        <w:rPr>
          <w:rStyle w:val="46"/>
          <w:rFonts w:hint="default"/>
          <w:highlight w:val="none"/>
        </w:rPr>
        <w:t>健全和完善预算绩效管理全过程监控机制，加强预算执行过程中的绩效运行跟踪监控管理，对绩效目标实现程度和预算执行进度实行</w:t>
      </w:r>
      <w:r>
        <w:rPr>
          <w:rStyle w:val="46"/>
          <w:rFonts w:hint="eastAsia" w:eastAsia="仿宋_GB2312"/>
          <w:highlight w:val="none"/>
          <w:lang w:eastAsia="zh-CN"/>
        </w:rPr>
        <w:t>“</w:t>
      </w:r>
      <w:r>
        <w:rPr>
          <w:rStyle w:val="46"/>
          <w:rFonts w:hint="default"/>
          <w:highlight w:val="none"/>
        </w:rPr>
        <w:t>双监控</w:t>
      </w:r>
      <w:r>
        <w:rPr>
          <w:rStyle w:val="46"/>
          <w:rFonts w:hint="eastAsia" w:eastAsia="仿宋_GB2312"/>
          <w:highlight w:val="none"/>
          <w:lang w:eastAsia="zh-CN"/>
        </w:rPr>
        <w:t>”</w:t>
      </w:r>
      <w:r>
        <w:rPr>
          <w:rStyle w:val="46"/>
          <w:rFonts w:hint="default"/>
          <w:highlight w:val="none"/>
        </w:rPr>
        <w:t>，对发现的问题分析原因并及时整改。</w:t>
      </w:r>
    </w:p>
    <w:p>
      <w:pPr>
        <w:spacing w:line="360" w:lineRule="auto"/>
        <w:ind w:firstLine="640" w:firstLineChars="200"/>
        <w:rPr>
          <w:rStyle w:val="46"/>
          <w:rFonts w:hint="default"/>
          <w:highlight w:val="none"/>
        </w:rPr>
      </w:pPr>
      <w:r>
        <w:rPr>
          <w:rStyle w:val="46"/>
          <w:highlight w:val="none"/>
        </w:rPr>
        <w:t>2</w:t>
      </w:r>
      <w:r>
        <w:rPr>
          <w:rStyle w:val="46"/>
          <w:rFonts w:hint="default"/>
          <w:highlight w:val="none"/>
        </w:rPr>
        <w:t>.建议单位</w:t>
      </w:r>
      <w:r>
        <w:rPr>
          <w:rStyle w:val="46"/>
          <w:highlight w:val="none"/>
        </w:rPr>
        <w:t>认真履行绩效工作，</w:t>
      </w:r>
      <w:r>
        <w:rPr>
          <w:rStyle w:val="46"/>
          <w:rFonts w:hint="default"/>
          <w:highlight w:val="none"/>
        </w:rPr>
        <w:t>对绩效目标进一步细化、量化，设置清晰、可衡量，确保绩效目标与绩效目标实现情况可进行对比，并设置具体绩效指标，确保绩效指标能充分支撑绩效目标的实现并可衡量、可考核，按实际情况对项目进行自评总结，发现问题并予以改正。</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r>
        <w:rPr>
          <w:rStyle w:val="46"/>
          <w:highlight w:val="none"/>
        </w:rPr>
        <w:t>3</w:t>
      </w:r>
      <w:r>
        <w:rPr>
          <w:rStyle w:val="46"/>
          <w:rFonts w:hint="default"/>
          <w:highlight w:val="none"/>
        </w:rPr>
        <w:t>.建立健全相关管理制度，并加强制度的执行力度，确保权力运行规范化、资金管理合规化</w:t>
      </w:r>
      <w:r>
        <w:rPr>
          <w:rStyle w:val="46"/>
          <w:rFonts w:hint="default" w:hAnsi="Mongolian Baiti" w:cs="Mongolian Baiti"/>
          <w:color w:val="000000" w:themeColor="text1"/>
          <w:highlight w:val="none"/>
          <w14:textFill>
            <w14:solidFill>
              <w14:schemeClr w14:val="tx1"/>
            </w14:solidFill>
          </w14:textFill>
        </w:rPr>
        <w:t>。</w:t>
      </w:r>
    </w:p>
    <w:p>
      <w:pPr>
        <w:spacing w:line="360" w:lineRule="auto"/>
        <w:ind w:firstLine="640" w:firstLineChars="200"/>
        <w:rPr>
          <w:rStyle w:val="46"/>
          <w:rFonts w:hint="default" w:hAnsi="Mongolian Baiti" w:cs="Mongolian Baiti"/>
          <w:highlight w:val="none"/>
        </w:rPr>
      </w:pPr>
      <w:r>
        <w:rPr>
          <w:rStyle w:val="46"/>
          <w:rFonts w:hint="eastAsia" w:hAnsi="Mongolian Baiti" w:eastAsia="仿宋_GB2312" w:cs="Mongolian Baiti"/>
          <w:highlight w:val="none"/>
          <w:lang w:val="en-US" w:eastAsia="zh-CN"/>
        </w:rPr>
        <w:t>4</w:t>
      </w:r>
      <w:r>
        <w:rPr>
          <w:rStyle w:val="46"/>
          <w:rFonts w:hint="default" w:hAnsi="Mongolian Baiti" w:cs="Mongolian Baiti"/>
          <w:highlight w:val="none"/>
        </w:rPr>
        <w:t>.建议单位采取业务培训、考察交流、现场指导等形式加强绩效评价相关知识的学习和培训，在实际工作中不断积累经验，不断提高预算绩效管理工作水平和绩效自评工作质量。</w:t>
      </w:r>
    </w:p>
    <w:p>
      <w:pPr>
        <w:spacing w:line="360" w:lineRule="auto"/>
        <w:ind w:firstLine="640" w:firstLineChars="200"/>
        <w:rPr>
          <w:rStyle w:val="46"/>
          <w:rFonts w:hint="default" w:hAnsi="Mongolian Baiti" w:cs="Mongolian Baiti"/>
          <w:color w:val="000000" w:themeColor="text1"/>
          <w:highlight w:val="none"/>
          <w14:textFill>
            <w14:solidFill>
              <w14:schemeClr w14:val="tx1"/>
            </w14:solidFill>
          </w14:textFill>
        </w:rPr>
      </w:pPr>
    </w:p>
    <w:p>
      <w:pPr>
        <w:spacing w:line="360" w:lineRule="auto"/>
        <w:ind w:firstLine="640" w:firstLineChars="200"/>
        <w:rPr>
          <w:rStyle w:val="46"/>
          <w:rFonts w:hint="default" w:hAnsi="Mongolian Baiti" w:cs="Mongolian Baiti"/>
          <w:highlight w:val="none"/>
        </w:rPr>
      </w:pPr>
    </w:p>
    <w:p>
      <w:pPr>
        <w:pStyle w:val="2"/>
        <w:rPr>
          <w:rStyle w:val="46"/>
          <w:rFonts w:hint="default" w:hAnsi="Mongolian Baiti" w:cs="Mongolian Baiti"/>
          <w:highlight w:val="none"/>
        </w:rPr>
      </w:pPr>
    </w:p>
    <w:p>
      <w:pPr>
        <w:pStyle w:val="2"/>
        <w:rPr>
          <w:rStyle w:val="46"/>
          <w:rFonts w:hint="default" w:hAnsi="Mongolian Baiti" w:cs="Mongolian Baiti"/>
          <w:highlight w:val="none"/>
        </w:rPr>
      </w:pPr>
    </w:p>
    <w:p>
      <w:pPr>
        <w:pStyle w:val="2"/>
        <w:rPr>
          <w:rStyle w:val="46"/>
          <w:rFonts w:hint="default" w:hAnsi="Mongolian Baiti" w:cs="Mongolian Baiti"/>
          <w:highlight w:val="none"/>
        </w:rPr>
      </w:pPr>
    </w:p>
    <w:p>
      <w:pPr>
        <w:spacing w:line="360" w:lineRule="auto"/>
        <w:ind w:firstLine="643" w:firstLineChars="200"/>
        <w:outlineLvl w:val="0"/>
        <w:rPr>
          <w:rFonts w:ascii="Mongolian Baiti" w:hAnsi="Mongolian Baiti" w:eastAsia="仿宋_GB2312" w:cs="Mongolian Baiti"/>
          <w:b/>
          <w:sz w:val="32"/>
          <w:szCs w:val="32"/>
          <w:highlight w:val="none"/>
        </w:rPr>
      </w:pPr>
      <w:bookmarkStart w:id="16" w:name="_Toc24050"/>
      <w:bookmarkStart w:id="17" w:name="_Toc10048"/>
      <w:bookmarkStart w:id="18" w:name="_Toc32524"/>
    </w:p>
    <w:p>
      <w:pPr>
        <w:pStyle w:val="2"/>
        <w:rPr>
          <w:rFonts w:ascii="Mongolian Baiti" w:hAnsi="Mongolian Baiti" w:eastAsia="仿宋_GB2312" w:cs="Mongolian Baiti"/>
          <w:b/>
          <w:sz w:val="32"/>
          <w:szCs w:val="32"/>
          <w:highlight w:val="none"/>
        </w:rPr>
      </w:pPr>
    </w:p>
    <w:p>
      <w:pPr>
        <w:pStyle w:val="2"/>
        <w:rPr>
          <w:rFonts w:ascii="Mongolian Baiti" w:hAnsi="Mongolian Baiti" w:eastAsia="仿宋_GB2312" w:cs="Mongolian Baiti"/>
          <w:b/>
          <w:sz w:val="32"/>
          <w:szCs w:val="32"/>
          <w:highlight w:val="none"/>
        </w:rPr>
      </w:pPr>
    </w:p>
    <w:p>
      <w:pPr>
        <w:pStyle w:val="2"/>
        <w:rPr>
          <w:rFonts w:ascii="Mongolian Baiti" w:hAnsi="Mongolian Baiti" w:eastAsia="仿宋_GB2312" w:cs="Mongolian Baiti"/>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Mongolian Baiti" w:hAnsi="Mongolian Baiti" w:eastAsia="仿宋_GB2312" w:cs="Mongolian Baiti"/>
          <w:b/>
          <w:sz w:val="32"/>
          <w:szCs w:val="32"/>
          <w:highlight w:val="none"/>
          <w:lang w:val="en-US" w:eastAsia="zh-CN"/>
        </w:rPr>
      </w:pPr>
      <w:r>
        <w:rPr>
          <w:rFonts w:hint="eastAsia" w:ascii="Mongolian Baiti" w:hAnsi="Mongolian Baiti" w:eastAsia="仿宋_GB2312" w:cs="Mongolian Baiti"/>
          <w:b/>
          <w:sz w:val="32"/>
          <w:szCs w:val="32"/>
          <w:highlight w:val="none"/>
          <w:lang w:val="en-US" w:eastAsia="zh-CN"/>
        </w:rPr>
        <w:t>（此页无正文）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Mongolian Baiti" w:hAnsi="Mongolian Baiti" w:eastAsia="仿宋_GB2312" w:cs="Mongolian Baiti"/>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仿宋_GB2312" w:eastAsia="仿宋_GB2312"/>
          <w:b/>
          <w:sz w:val="32"/>
          <w:szCs w:val="32"/>
          <w:highlight w:val="none"/>
        </w:rPr>
      </w:pPr>
      <w:r>
        <w:rPr>
          <w:rFonts w:ascii="Mongolian Baiti" w:hAnsi="Mongolian Baiti" w:eastAsia="仿宋_GB2312" w:cs="Mongolian Baiti"/>
          <w:b/>
          <w:sz w:val="32"/>
          <w:szCs w:val="32"/>
          <w:highlight w:val="none"/>
        </w:rPr>
        <w:t>附表</w:t>
      </w:r>
      <w:r>
        <w:rPr>
          <w:rFonts w:hint="eastAsia" w:ascii="Mongolian Baiti" w:hAnsi="Mongolian Baiti" w:eastAsia="仿宋_GB2312" w:cs="Mongolian Baiti"/>
          <w:b/>
          <w:sz w:val="32"/>
          <w:szCs w:val="32"/>
          <w:highlight w:val="none"/>
        </w:rPr>
        <w:t>：</w:t>
      </w:r>
      <w:bookmarkEnd w:id="16"/>
      <w:bookmarkEnd w:id="17"/>
      <w:bookmarkEnd w:id="18"/>
      <w:r>
        <w:rPr>
          <w:rFonts w:hint="eastAsia" w:ascii="仿宋_GB2312" w:eastAsia="仿宋_GB2312"/>
          <w:b/>
          <w:sz w:val="32"/>
          <w:szCs w:val="32"/>
          <w:highlight w:val="none"/>
        </w:rPr>
        <w:t>国有企业退休人员社会化管理县级财政补助资金项目绩效评价指标及评分表</w:t>
      </w:r>
    </w:p>
    <w:p>
      <w:pPr>
        <w:rPr>
          <w:rFonts w:ascii="仿宋_GB2312" w:eastAsia="仿宋_GB2312"/>
          <w:b/>
          <w:sz w:val="32"/>
          <w:szCs w:val="32"/>
          <w:highlight w:val="none"/>
        </w:rPr>
      </w:pPr>
    </w:p>
    <w:p>
      <w:pPr>
        <w:ind w:firstLine="643" w:firstLineChars="200"/>
        <w:rPr>
          <w:rFonts w:ascii="仿宋_GB2312" w:eastAsia="仿宋_GB2312"/>
          <w:b/>
          <w:sz w:val="32"/>
          <w:szCs w:val="32"/>
          <w:highlight w:val="none"/>
        </w:rPr>
      </w:pPr>
    </w:p>
    <w:tbl>
      <w:tblPr>
        <w:tblStyle w:val="21"/>
        <w:tblW w:w="7815" w:type="dxa"/>
        <w:jc w:val="center"/>
        <w:tblInd w:w="0" w:type="dxa"/>
        <w:tblLayout w:type="fixed"/>
        <w:tblCellMar>
          <w:top w:w="0" w:type="dxa"/>
          <w:left w:w="108" w:type="dxa"/>
          <w:bottom w:w="0" w:type="dxa"/>
          <w:right w:w="108" w:type="dxa"/>
        </w:tblCellMar>
      </w:tblPr>
      <w:tblGrid>
        <w:gridCol w:w="3824"/>
        <w:gridCol w:w="3991"/>
      </w:tblGrid>
      <w:tr>
        <w:tblPrEx>
          <w:tblLayout w:type="fixed"/>
          <w:tblCellMar>
            <w:top w:w="0" w:type="dxa"/>
            <w:left w:w="108" w:type="dxa"/>
            <w:bottom w:w="0" w:type="dxa"/>
            <w:right w:w="108" w:type="dxa"/>
          </w:tblCellMar>
        </w:tblPrEx>
        <w:trPr>
          <w:jc w:val="center"/>
        </w:trPr>
        <w:tc>
          <w:tcPr>
            <w:tcW w:w="3824" w:type="dxa"/>
            <w:shd w:val="clear" w:color="auto" w:fill="auto"/>
          </w:tcPr>
          <w:p>
            <w:pPr>
              <w:spacing w:line="360" w:lineRule="auto"/>
              <w:rPr>
                <w:rFonts w:ascii="仿宋" w:hAnsi="仿宋" w:eastAsia="仿宋"/>
                <w:b/>
                <w:sz w:val="32"/>
                <w:szCs w:val="32"/>
                <w:highlight w:val="none"/>
              </w:rPr>
            </w:pPr>
          </w:p>
          <w:p>
            <w:pP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云南信立会计师事务所有限公司</w:t>
            </w:r>
          </w:p>
        </w:tc>
        <w:tc>
          <w:tcPr>
            <w:tcW w:w="3991" w:type="dxa"/>
          </w:tcPr>
          <w:p>
            <w:pPr>
              <w:spacing w:line="360" w:lineRule="auto"/>
              <w:rPr>
                <w:rFonts w:ascii="仿宋" w:hAnsi="仿宋" w:eastAsia="仿宋"/>
                <w:b/>
                <w:sz w:val="32"/>
                <w:szCs w:val="32"/>
                <w:highlight w:val="none"/>
              </w:rPr>
            </w:pPr>
          </w:p>
          <w:p>
            <w:pPr>
              <w:spacing w:line="360" w:lineRule="auto"/>
              <w:rPr>
                <w:rFonts w:ascii="仿宋" w:hAnsi="仿宋" w:eastAsia="仿宋"/>
                <w:b/>
                <w:sz w:val="32"/>
                <w:szCs w:val="32"/>
                <w:highlight w:val="none"/>
              </w:rPr>
            </w:pPr>
            <w:r>
              <w:rPr>
                <w:rFonts w:hint="eastAsia" w:ascii="仿宋" w:hAnsi="仿宋" w:eastAsia="仿宋"/>
                <w:b/>
                <w:sz w:val="32"/>
                <w:szCs w:val="32"/>
                <w:highlight w:val="none"/>
              </w:rPr>
              <w:t xml:space="preserve">  </w:t>
            </w:r>
            <w:r>
              <w:rPr>
                <w:rFonts w:ascii="仿宋" w:hAnsi="仿宋" w:eastAsia="仿宋"/>
                <w:b/>
                <w:sz w:val="32"/>
                <w:szCs w:val="32"/>
                <w:highlight w:val="none"/>
              </w:rPr>
              <w:t xml:space="preserve">  </w:t>
            </w:r>
            <w:r>
              <w:rPr>
                <w:rFonts w:hint="eastAsia" w:ascii="仿宋" w:hAnsi="仿宋" w:eastAsia="仿宋"/>
                <w:b/>
                <w:sz w:val="32"/>
                <w:szCs w:val="32"/>
                <w:highlight w:val="none"/>
              </w:rPr>
              <w:t>中国注册会计师：</w:t>
            </w:r>
          </w:p>
          <w:p>
            <w:pPr>
              <w:spacing w:line="360" w:lineRule="auto"/>
              <w:rPr>
                <w:rFonts w:ascii="仿宋" w:hAnsi="仿宋" w:eastAsia="仿宋"/>
                <w:b/>
                <w:sz w:val="32"/>
                <w:szCs w:val="32"/>
                <w:highlight w:val="none"/>
              </w:rPr>
            </w:pPr>
          </w:p>
        </w:tc>
      </w:tr>
      <w:tr>
        <w:tblPrEx>
          <w:tblLayout w:type="fixed"/>
          <w:tblCellMar>
            <w:top w:w="0" w:type="dxa"/>
            <w:left w:w="108" w:type="dxa"/>
            <w:bottom w:w="0" w:type="dxa"/>
            <w:right w:w="108" w:type="dxa"/>
          </w:tblCellMar>
        </w:tblPrEx>
        <w:trPr>
          <w:jc w:val="center"/>
        </w:trPr>
        <w:tc>
          <w:tcPr>
            <w:tcW w:w="3824" w:type="dxa"/>
          </w:tcPr>
          <w:p>
            <w:pPr>
              <w:spacing w:line="360" w:lineRule="auto"/>
              <w:jc w:val="center"/>
              <w:rPr>
                <w:rFonts w:ascii="仿宋" w:hAnsi="仿宋" w:eastAsia="仿宋"/>
                <w:b/>
                <w:sz w:val="32"/>
                <w:szCs w:val="32"/>
                <w:highlight w:val="none"/>
              </w:rPr>
            </w:pPr>
          </w:p>
        </w:tc>
        <w:tc>
          <w:tcPr>
            <w:tcW w:w="3991" w:type="dxa"/>
          </w:tcPr>
          <w:p>
            <w:pP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 xml:space="preserve"> 中国注册会计师：</w:t>
            </w:r>
          </w:p>
        </w:tc>
      </w:tr>
      <w:tr>
        <w:tblPrEx>
          <w:tblLayout w:type="fixed"/>
          <w:tblCellMar>
            <w:top w:w="0" w:type="dxa"/>
            <w:left w:w="108" w:type="dxa"/>
            <w:bottom w:w="0" w:type="dxa"/>
            <w:right w:w="108" w:type="dxa"/>
          </w:tblCellMar>
        </w:tblPrEx>
        <w:trPr>
          <w:jc w:val="center"/>
        </w:trPr>
        <w:tc>
          <w:tcPr>
            <w:tcW w:w="3824" w:type="dxa"/>
          </w:tcPr>
          <w:p>
            <w:pPr>
              <w:spacing w:line="360" w:lineRule="auto"/>
              <w:rPr>
                <w:rFonts w:ascii="仿宋" w:hAnsi="仿宋" w:eastAsia="仿宋"/>
                <w:b/>
                <w:sz w:val="32"/>
                <w:szCs w:val="32"/>
                <w:highlight w:val="none"/>
              </w:rPr>
            </w:pPr>
          </w:p>
        </w:tc>
        <w:tc>
          <w:tcPr>
            <w:tcW w:w="3991" w:type="dxa"/>
          </w:tcPr>
          <w:p>
            <w:pPr>
              <w:spacing w:line="360" w:lineRule="auto"/>
              <w:rPr>
                <w:rFonts w:ascii="仿宋" w:hAnsi="仿宋" w:eastAsia="仿宋"/>
                <w:b/>
                <w:sz w:val="32"/>
                <w:szCs w:val="32"/>
                <w:highlight w:val="none"/>
              </w:rPr>
            </w:pPr>
          </w:p>
        </w:tc>
      </w:tr>
      <w:tr>
        <w:tblPrEx>
          <w:tblLayout w:type="fixed"/>
          <w:tblCellMar>
            <w:top w:w="0" w:type="dxa"/>
            <w:left w:w="108" w:type="dxa"/>
            <w:bottom w:w="0" w:type="dxa"/>
            <w:right w:w="108" w:type="dxa"/>
          </w:tblCellMar>
        </w:tblPrEx>
        <w:trPr>
          <w:jc w:val="center"/>
        </w:trPr>
        <w:tc>
          <w:tcPr>
            <w:tcW w:w="3824" w:type="dxa"/>
          </w:tcPr>
          <w:p>
            <w:pPr>
              <w:spacing w:line="360" w:lineRule="auto"/>
              <w:ind w:firstLine="964" w:firstLineChars="300"/>
              <w:rPr>
                <w:rFonts w:ascii="仿宋" w:hAnsi="仿宋" w:eastAsia="仿宋"/>
                <w:b/>
                <w:sz w:val="32"/>
                <w:szCs w:val="32"/>
                <w:highlight w:val="none"/>
              </w:rPr>
            </w:pPr>
            <w:r>
              <w:rPr>
                <w:rFonts w:hint="eastAsia" w:ascii="仿宋" w:hAnsi="仿宋" w:eastAsia="仿宋"/>
                <w:b/>
                <w:sz w:val="32"/>
                <w:szCs w:val="32"/>
                <w:highlight w:val="none"/>
              </w:rPr>
              <w:t>中国·昆明</w:t>
            </w:r>
          </w:p>
        </w:tc>
        <w:tc>
          <w:tcPr>
            <w:tcW w:w="3991" w:type="dxa"/>
          </w:tcPr>
          <w:p>
            <w:pPr>
              <w:spacing w:line="400" w:lineRule="exact"/>
              <w:rPr>
                <w:rFonts w:ascii="仿宋" w:hAnsi="仿宋" w:eastAsia="仿宋"/>
                <w:b/>
                <w:sz w:val="32"/>
                <w:szCs w:val="32"/>
                <w:highlight w:val="none"/>
              </w:rPr>
            </w:pPr>
            <w:r>
              <w:rPr>
                <w:rFonts w:hint="eastAsia" w:ascii="仿宋" w:hAnsi="仿宋" w:eastAsia="仿宋" w:cs="宋体"/>
                <w:b/>
                <w:spacing w:val="6"/>
                <w:sz w:val="32"/>
                <w:szCs w:val="32"/>
                <w:highlight w:val="none"/>
              </w:rPr>
              <w:t>二</w:t>
            </w:r>
            <w:r>
              <w:rPr>
                <w:rFonts w:hint="eastAsia" w:ascii="仿宋" w:hAnsi="仿宋" w:eastAsia="仿宋" w:cs="微软雅黑"/>
                <w:b/>
                <w:spacing w:val="6"/>
                <w:sz w:val="32"/>
                <w:szCs w:val="32"/>
                <w:highlight w:val="none"/>
              </w:rPr>
              <w:t>〇</w:t>
            </w:r>
            <w:r>
              <w:rPr>
                <w:rFonts w:hint="eastAsia" w:ascii="仿宋" w:hAnsi="仿宋" w:eastAsia="仿宋" w:cs="宋体"/>
                <w:b/>
                <w:spacing w:val="6"/>
                <w:sz w:val="32"/>
                <w:szCs w:val="32"/>
                <w:highlight w:val="none"/>
              </w:rPr>
              <w:t>二二年</w:t>
            </w:r>
            <w:r>
              <w:rPr>
                <w:rFonts w:hint="eastAsia" w:ascii="仿宋" w:hAnsi="仿宋" w:eastAsia="仿宋" w:cs="宋体"/>
                <w:b/>
                <w:spacing w:val="6"/>
                <w:sz w:val="32"/>
                <w:szCs w:val="32"/>
                <w:highlight w:val="none"/>
                <w:lang w:val="en-US" w:eastAsia="zh-CN"/>
              </w:rPr>
              <w:t>十一月十</w:t>
            </w:r>
            <w:r>
              <w:rPr>
                <w:rFonts w:hint="eastAsia" w:ascii="仿宋" w:hAnsi="仿宋" w:eastAsia="仿宋" w:cs="宋体"/>
                <w:b/>
                <w:spacing w:val="6"/>
                <w:sz w:val="32"/>
                <w:szCs w:val="32"/>
                <w:highlight w:val="none"/>
              </w:rPr>
              <w:t>日</w:t>
            </w:r>
          </w:p>
        </w:tc>
      </w:tr>
    </w:tbl>
    <w:p>
      <w:pPr>
        <w:spacing w:line="360" w:lineRule="auto"/>
        <w:rPr>
          <w:rFonts w:ascii="仿宋_GB2312" w:eastAsia="仿宋_GB2312"/>
          <w:sz w:val="32"/>
          <w:szCs w:val="32"/>
          <w:highlight w:val="none"/>
        </w:rPr>
      </w:pPr>
    </w:p>
    <w:sectPr>
      <w:headerReference r:id="rId6" w:type="default"/>
      <w:footerReference r:id="rId7" w:type="default"/>
      <w:pgSz w:w="11906" w:h="16838"/>
      <w:pgMar w:top="1361" w:right="1474" w:bottom="1559" w:left="1474" w:header="851" w:footer="115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EBCFDBF4-9529-4390-AA73-E9A5CCF7F381}"/>
  </w:font>
  <w:font w:name="Courier New">
    <w:panose1 w:val="02070309020205020404"/>
    <w:charset w:val="01"/>
    <w:family w:val="modern"/>
    <w:pitch w:val="default"/>
    <w:sig w:usb0="00007A87" w:usb1="80000000" w:usb2="00000008" w:usb3="00000000" w:csb0="400001FF" w:csb1="FFFF0000"/>
    <w:embedRegular r:id="rId2" w:fontKey="{12E0714A-3B09-49EE-8270-FA8677C7E2C6}"/>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alibri Light">
    <w:altName w:val="Century Gothic"/>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0B1FA7B-6D28-4BA9-B455-1D9C0F960701}"/>
  </w:font>
  <w:font w:name="仿宋">
    <w:altName w:val="宋体"/>
    <w:panose1 w:val="02010609060101010101"/>
    <w:charset w:val="86"/>
    <w:family w:val="auto"/>
    <w:pitch w:val="default"/>
    <w:sig w:usb0="00000000" w:usb1="00000000" w:usb2="00000016" w:usb3="00000000" w:csb0="00040001" w:csb1="00000000"/>
    <w:embedRegular r:id="rId4" w:fontKey="{03DB97AC-EFC4-476B-8457-2E09081CB53D}"/>
  </w:font>
  <w:font w:name="Verdana">
    <w:panose1 w:val="020B0604030504040204"/>
    <w:charset w:val="00"/>
    <w:family w:val="swiss"/>
    <w:pitch w:val="default"/>
    <w:sig w:usb0="00000287" w:usb1="00000000" w:usb2="00000000" w:usb3="00000000" w:csb0="2000019F" w:csb1="00000000"/>
  </w:font>
  <w:font w:name="Cambria">
    <w:altName w:val="Palatino Linotype"/>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61007A87" w:usb1="80000000" w:usb2="00000008" w:usb3="00000000" w:csb0="200101FF" w:csb1="20280000"/>
  </w:font>
  <w:font w:name="方正小标宋_GBK">
    <w:panose1 w:val="03000509000000000000"/>
    <w:charset w:val="86"/>
    <w:family w:val="auto"/>
    <w:pitch w:val="default"/>
    <w:sig w:usb0="00000001" w:usb1="080E0000" w:usb2="00000000" w:usb3="00000000" w:csb0="00040000" w:csb1="00000000"/>
    <w:embedRegular r:id="rId5" w:fontKey="{D6547367-8D6B-4E9F-8AED-3DA13731225C}"/>
  </w:font>
  <w:font w:name="方正仿宋_GBK">
    <w:panose1 w:val="02000000000000000000"/>
    <w:charset w:val="86"/>
    <w:family w:val="auto"/>
    <w:pitch w:val="default"/>
    <w:sig w:usb0="00000001" w:usb1="080E0000" w:usb2="00000000" w:usb3="00000000" w:csb0="00040000" w:csb1="00000000"/>
    <w:embedRegular r:id="rId6" w:fontKey="{5A2939F4-FBFF-4C0A-87A1-0AE5FF0E9D73}"/>
  </w:font>
  <w:font w:name="Mongolian Baiti">
    <w:altName w:val="Monotype Corsiva"/>
    <w:panose1 w:val="03000500000000000000"/>
    <w:charset w:val="00"/>
    <w:family w:val="script"/>
    <w:pitch w:val="default"/>
    <w:sig w:usb0="00000000" w:usb1="00000000" w:usb2="00020000" w:usb3="00000000" w:csb0="00000001" w:csb1="00000000"/>
  </w:font>
  <w:font w:name="方正黑体_GBK">
    <w:panose1 w:val="03000509000000000000"/>
    <w:charset w:val="86"/>
    <w:family w:val="script"/>
    <w:pitch w:val="default"/>
    <w:sig w:usb0="00000001" w:usb1="080E0000" w:usb2="00000000" w:usb3="00000000" w:csb0="00040000" w:csb1="00000000"/>
    <w:embedRegular r:id="rId7" w:fontKey="{EAD71A4D-87BF-4749-8811-A3684F7228A2}"/>
  </w:font>
  <w:font w:name="方正楷体_GBK">
    <w:panose1 w:val="03000509000000000000"/>
    <w:charset w:val="86"/>
    <w:family w:val="auto"/>
    <w:pitch w:val="default"/>
    <w:sig w:usb0="00000001" w:usb1="080E0000" w:usb2="00000000" w:usb3="00000000" w:csb0="00040000" w:csb1="00000000"/>
    <w:embedRegular r:id="rId8" w:fontKey="{0BE25E4F-8C23-4D9A-BF57-E85BEC32D4DD}"/>
  </w:font>
  <w:font w:name="楷体_GB2312">
    <w:panose1 w:val="02010609030101010101"/>
    <w:charset w:val="86"/>
    <w:family w:val="modern"/>
    <w:pitch w:val="default"/>
    <w:sig w:usb0="00000001" w:usb1="080E0000" w:usb2="00000000" w:usb3="00000000" w:csb0="00040000" w:csb1="00000000"/>
    <w:embedRegular r:id="rId9" w:fontKey="{CEA77020-CC66-4A3B-8614-39E91C91AB50}"/>
  </w:font>
  <w:font w:name="华文楷体">
    <w:altName w:val="楷体_GB2312"/>
    <w:panose1 w:val="02010600040101010101"/>
    <w:charset w:val="86"/>
    <w:family w:val="auto"/>
    <w:pitch w:val="default"/>
    <w:sig w:usb0="00000000" w:usb1="00000000" w:usb2="00000000" w:usb3="00000000" w:csb0="0004009F" w:csb1="DFD70000"/>
    <w:embedRegular r:id="rId10" w:fontKey="{08CAE199-010A-4979-B1F0-D57E9248586A}"/>
  </w:font>
  <w:font w:name="微软雅黑">
    <w:altName w:val="黑体"/>
    <w:panose1 w:val="020B0503020204020204"/>
    <w:charset w:val="86"/>
    <w:family w:val="auto"/>
    <w:pitch w:val="default"/>
    <w:sig w:usb0="00000000" w:usb1="00000000" w:usb2="00000016" w:usb3="00000000" w:csb0="0004001F" w:csb1="00000000"/>
    <w:embedRegular r:id="rId11" w:fontKey="{C8ADF80F-879D-4B09-9EFB-6A4565CC4C9C}"/>
  </w:font>
  <w:font w:name="Monotype Corsiva">
    <w:panose1 w:val="03010101010201010101"/>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r>
      <w:rPr>
        <w:rFonts w:ascii="仿宋_GB2312"/>
        <w:sz w:val="10"/>
      </w:rPr>
      <w:drawing>
        <wp:inline distT="0" distB="0" distL="0" distR="0">
          <wp:extent cx="2057400" cy="381000"/>
          <wp:effectExtent l="0" t="0" r="0" b="0"/>
          <wp:docPr id="1" name="图片 1" descr="LOGO - 副本"/>
          <wp:cNvGraphicFramePr/>
          <a:graphic xmlns:a="http://schemas.openxmlformats.org/drawingml/2006/main">
            <a:graphicData uri="http://schemas.openxmlformats.org/drawingml/2006/picture">
              <pic:pic xmlns:pic="http://schemas.openxmlformats.org/drawingml/2006/picture">
                <pic:nvPicPr>
                  <pic:cNvPr id="1" name="图片 1" descr="LOGO - 副本"/>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574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8F6AB"/>
    <w:multiLevelType w:val="singleLevel"/>
    <w:tmpl w:val="C058F6A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MGM1YjNjNWMyZWY1MTZjYTNjYzlmYzhkYThjNzMifQ=="/>
  </w:docVars>
  <w:rsids>
    <w:rsidRoot w:val="00072A5E"/>
    <w:rsid w:val="000017F7"/>
    <w:rsid w:val="00002F6F"/>
    <w:rsid w:val="000032EE"/>
    <w:rsid w:val="000065AF"/>
    <w:rsid w:val="000104CF"/>
    <w:rsid w:val="00010561"/>
    <w:rsid w:val="00010CC3"/>
    <w:rsid w:val="0001703F"/>
    <w:rsid w:val="00017DA6"/>
    <w:rsid w:val="00021063"/>
    <w:rsid w:val="00022F0C"/>
    <w:rsid w:val="00025C2A"/>
    <w:rsid w:val="00025C35"/>
    <w:rsid w:val="000265ED"/>
    <w:rsid w:val="00034AF2"/>
    <w:rsid w:val="00034C8F"/>
    <w:rsid w:val="000378DE"/>
    <w:rsid w:val="00037CC1"/>
    <w:rsid w:val="00041B14"/>
    <w:rsid w:val="0005041F"/>
    <w:rsid w:val="00050BB4"/>
    <w:rsid w:val="00050E63"/>
    <w:rsid w:val="00051E85"/>
    <w:rsid w:val="000520AE"/>
    <w:rsid w:val="00053B0C"/>
    <w:rsid w:val="000549A0"/>
    <w:rsid w:val="00057675"/>
    <w:rsid w:val="000602BD"/>
    <w:rsid w:val="00061EEE"/>
    <w:rsid w:val="000620C7"/>
    <w:rsid w:val="0006697C"/>
    <w:rsid w:val="000677BE"/>
    <w:rsid w:val="00067E1D"/>
    <w:rsid w:val="000701FA"/>
    <w:rsid w:val="00071DF2"/>
    <w:rsid w:val="00072A5E"/>
    <w:rsid w:val="00077220"/>
    <w:rsid w:val="00080484"/>
    <w:rsid w:val="00081915"/>
    <w:rsid w:val="000840FC"/>
    <w:rsid w:val="00085386"/>
    <w:rsid w:val="00087616"/>
    <w:rsid w:val="000963CA"/>
    <w:rsid w:val="00096F35"/>
    <w:rsid w:val="000A187F"/>
    <w:rsid w:val="000A6E71"/>
    <w:rsid w:val="000B02E5"/>
    <w:rsid w:val="000B04B5"/>
    <w:rsid w:val="000B09CE"/>
    <w:rsid w:val="000B407A"/>
    <w:rsid w:val="000B42AD"/>
    <w:rsid w:val="000B56BF"/>
    <w:rsid w:val="000B619B"/>
    <w:rsid w:val="000B6600"/>
    <w:rsid w:val="000C1840"/>
    <w:rsid w:val="000C24AD"/>
    <w:rsid w:val="000C2E9F"/>
    <w:rsid w:val="000C5945"/>
    <w:rsid w:val="000D242B"/>
    <w:rsid w:val="000D2A12"/>
    <w:rsid w:val="000D2C1D"/>
    <w:rsid w:val="000D2EE3"/>
    <w:rsid w:val="000D4BB6"/>
    <w:rsid w:val="000D6E1D"/>
    <w:rsid w:val="000D789D"/>
    <w:rsid w:val="000E39A3"/>
    <w:rsid w:val="000E3D90"/>
    <w:rsid w:val="000F5DBF"/>
    <w:rsid w:val="000F7815"/>
    <w:rsid w:val="00100B99"/>
    <w:rsid w:val="001036AE"/>
    <w:rsid w:val="00111553"/>
    <w:rsid w:val="00113438"/>
    <w:rsid w:val="0011507A"/>
    <w:rsid w:val="001165E9"/>
    <w:rsid w:val="00121E12"/>
    <w:rsid w:val="001358A7"/>
    <w:rsid w:val="00143A35"/>
    <w:rsid w:val="00144DD9"/>
    <w:rsid w:val="0015128B"/>
    <w:rsid w:val="00154E49"/>
    <w:rsid w:val="0016425A"/>
    <w:rsid w:val="00170B68"/>
    <w:rsid w:val="00171594"/>
    <w:rsid w:val="00174901"/>
    <w:rsid w:val="001769FF"/>
    <w:rsid w:val="00180067"/>
    <w:rsid w:val="001807F0"/>
    <w:rsid w:val="0018135B"/>
    <w:rsid w:val="001814E0"/>
    <w:rsid w:val="001838CA"/>
    <w:rsid w:val="0018422D"/>
    <w:rsid w:val="00184882"/>
    <w:rsid w:val="00185EFC"/>
    <w:rsid w:val="00187B67"/>
    <w:rsid w:val="00196E7D"/>
    <w:rsid w:val="00197715"/>
    <w:rsid w:val="001A1632"/>
    <w:rsid w:val="001A1AF8"/>
    <w:rsid w:val="001A25D0"/>
    <w:rsid w:val="001A52C6"/>
    <w:rsid w:val="001A6A57"/>
    <w:rsid w:val="001B08A5"/>
    <w:rsid w:val="001B0C30"/>
    <w:rsid w:val="001B0E51"/>
    <w:rsid w:val="001B0F8E"/>
    <w:rsid w:val="001B1CA2"/>
    <w:rsid w:val="001B354A"/>
    <w:rsid w:val="001B6941"/>
    <w:rsid w:val="001D25AD"/>
    <w:rsid w:val="001D4FDA"/>
    <w:rsid w:val="001D53B0"/>
    <w:rsid w:val="001D62D9"/>
    <w:rsid w:val="001E05BF"/>
    <w:rsid w:val="001E089E"/>
    <w:rsid w:val="001E3E3C"/>
    <w:rsid w:val="001E428E"/>
    <w:rsid w:val="001E612D"/>
    <w:rsid w:val="001F318C"/>
    <w:rsid w:val="001F37A3"/>
    <w:rsid w:val="001F443B"/>
    <w:rsid w:val="00204C25"/>
    <w:rsid w:val="00207151"/>
    <w:rsid w:val="0020754D"/>
    <w:rsid w:val="00210227"/>
    <w:rsid w:val="00214EB2"/>
    <w:rsid w:val="00215A57"/>
    <w:rsid w:val="00221A3A"/>
    <w:rsid w:val="0022394B"/>
    <w:rsid w:val="00224B57"/>
    <w:rsid w:val="00231425"/>
    <w:rsid w:val="00232001"/>
    <w:rsid w:val="002419D5"/>
    <w:rsid w:val="00241DF1"/>
    <w:rsid w:val="00246B51"/>
    <w:rsid w:val="0025181D"/>
    <w:rsid w:val="00251CCC"/>
    <w:rsid w:val="00253FFD"/>
    <w:rsid w:val="00255A92"/>
    <w:rsid w:val="00260090"/>
    <w:rsid w:val="00265A23"/>
    <w:rsid w:val="00271BB7"/>
    <w:rsid w:val="00274E09"/>
    <w:rsid w:val="00277E53"/>
    <w:rsid w:val="002835D7"/>
    <w:rsid w:val="00290026"/>
    <w:rsid w:val="0029250C"/>
    <w:rsid w:val="00294C2C"/>
    <w:rsid w:val="00296F83"/>
    <w:rsid w:val="002A30B7"/>
    <w:rsid w:val="002A4166"/>
    <w:rsid w:val="002B0186"/>
    <w:rsid w:val="002B10C5"/>
    <w:rsid w:val="002B11AE"/>
    <w:rsid w:val="002B1B5D"/>
    <w:rsid w:val="002B2EAD"/>
    <w:rsid w:val="002C41A4"/>
    <w:rsid w:val="002D15F2"/>
    <w:rsid w:val="002D75AE"/>
    <w:rsid w:val="002E02BF"/>
    <w:rsid w:val="002E0A09"/>
    <w:rsid w:val="002E18EE"/>
    <w:rsid w:val="002E44F8"/>
    <w:rsid w:val="002E669C"/>
    <w:rsid w:val="002E6DFA"/>
    <w:rsid w:val="002F0E2F"/>
    <w:rsid w:val="002F1CC9"/>
    <w:rsid w:val="002F2FDC"/>
    <w:rsid w:val="002F5754"/>
    <w:rsid w:val="002F7518"/>
    <w:rsid w:val="00302F53"/>
    <w:rsid w:val="00304854"/>
    <w:rsid w:val="00304934"/>
    <w:rsid w:val="0030629B"/>
    <w:rsid w:val="003121F8"/>
    <w:rsid w:val="003229FC"/>
    <w:rsid w:val="003238C4"/>
    <w:rsid w:val="003270E2"/>
    <w:rsid w:val="00327E2D"/>
    <w:rsid w:val="00331C81"/>
    <w:rsid w:val="0033394A"/>
    <w:rsid w:val="00334523"/>
    <w:rsid w:val="00337D0E"/>
    <w:rsid w:val="00341CA2"/>
    <w:rsid w:val="0034268B"/>
    <w:rsid w:val="0034514A"/>
    <w:rsid w:val="00345FCA"/>
    <w:rsid w:val="00352548"/>
    <w:rsid w:val="00352DAA"/>
    <w:rsid w:val="00353FEA"/>
    <w:rsid w:val="00361CC3"/>
    <w:rsid w:val="00364B4D"/>
    <w:rsid w:val="00364EE1"/>
    <w:rsid w:val="00370C44"/>
    <w:rsid w:val="0037288D"/>
    <w:rsid w:val="00376B89"/>
    <w:rsid w:val="00377AD6"/>
    <w:rsid w:val="00377D5F"/>
    <w:rsid w:val="0038320D"/>
    <w:rsid w:val="00393F62"/>
    <w:rsid w:val="00394F61"/>
    <w:rsid w:val="003A0657"/>
    <w:rsid w:val="003A39DB"/>
    <w:rsid w:val="003B2700"/>
    <w:rsid w:val="003B4EEA"/>
    <w:rsid w:val="003B59DA"/>
    <w:rsid w:val="003B6049"/>
    <w:rsid w:val="003B7CB8"/>
    <w:rsid w:val="003C35D0"/>
    <w:rsid w:val="003C4294"/>
    <w:rsid w:val="003D49F6"/>
    <w:rsid w:val="003D6428"/>
    <w:rsid w:val="003D6B95"/>
    <w:rsid w:val="003D6D47"/>
    <w:rsid w:val="003E236B"/>
    <w:rsid w:val="003E5350"/>
    <w:rsid w:val="003E6013"/>
    <w:rsid w:val="003F3A45"/>
    <w:rsid w:val="00400355"/>
    <w:rsid w:val="0040061E"/>
    <w:rsid w:val="004019DC"/>
    <w:rsid w:val="00402DA2"/>
    <w:rsid w:val="00405632"/>
    <w:rsid w:val="00411444"/>
    <w:rsid w:val="00416E33"/>
    <w:rsid w:val="004175DC"/>
    <w:rsid w:val="00417EF4"/>
    <w:rsid w:val="0042047B"/>
    <w:rsid w:val="0042277B"/>
    <w:rsid w:val="004227E2"/>
    <w:rsid w:val="00422DAB"/>
    <w:rsid w:val="004241BA"/>
    <w:rsid w:val="0042440B"/>
    <w:rsid w:val="0042516F"/>
    <w:rsid w:val="004278CF"/>
    <w:rsid w:val="00427AF2"/>
    <w:rsid w:val="004322E7"/>
    <w:rsid w:val="00432451"/>
    <w:rsid w:val="0043316F"/>
    <w:rsid w:val="004367BD"/>
    <w:rsid w:val="00444BE2"/>
    <w:rsid w:val="004465F0"/>
    <w:rsid w:val="004506ED"/>
    <w:rsid w:val="00450C4B"/>
    <w:rsid w:val="00450ED7"/>
    <w:rsid w:val="00450F9F"/>
    <w:rsid w:val="004518F9"/>
    <w:rsid w:val="00452ADB"/>
    <w:rsid w:val="00464E2D"/>
    <w:rsid w:val="00464E76"/>
    <w:rsid w:val="004665AF"/>
    <w:rsid w:val="00466F4C"/>
    <w:rsid w:val="00467A38"/>
    <w:rsid w:val="00467B02"/>
    <w:rsid w:val="00471558"/>
    <w:rsid w:val="00473360"/>
    <w:rsid w:val="00480381"/>
    <w:rsid w:val="0048422D"/>
    <w:rsid w:val="00491067"/>
    <w:rsid w:val="004954DC"/>
    <w:rsid w:val="004A1029"/>
    <w:rsid w:val="004A243A"/>
    <w:rsid w:val="004A5550"/>
    <w:rsid w:val="004A64F7"/>
    <w:rsid w:val="004B3A88"/>
    <w:rsid w:val="004B53A7"/>
    <w:rsid w:val="004B7487"/>
    <w:rsid w:val="004C0484"/>
    <w:rsid w:val="004C0591"/>
    <w:rsid w:val="004C3AF0"/>
    <w:rsid w:val="004D0147"/>
    <w:rsid w:val="004D0A7A"/>
    <w:rsid w:val="004D0B7E"/>
    <w:rsid w:val="004D7A9D"/>
    <w:rsid w:val="004E1AD7"/>
    <w:rsid w:val="004E3955"/>
    <w:rsid w:val="004E3ADB"/>
    <w:rsid w:val="004E5644"/>
    <w:rsid w:val="004E613D"/>
    <w:rsid w:val="004E73FD"/>
    <w:rsid w:val="004E7FFD"/>
    <w:rsid w:val="004F441D"/>
    <w:rsid w:val="004F623C"/>
    <w:rsid w:val="00500C08"/>
    <w:rsid w:val="00502FEC"/>
    <w:rsid w:val="00506093"/>
    <w:rsid w:val="00506B03"/>
    <w:rsid w:val="005135CA"/>
    <w:rsid w:val="0051424E"/>
    <w:rsid w:val="005162BE"/>
    <w:rsid w:val="0051643F"/>
    <w:rsid w:val="00517845"/>
    <w:rsid w:val="00517B41"/>
    <w:rsid w:val="00520232"/>
    <w:rsid w:val="00522217"/>
    <w:rsid w:val="00522BED"/>
    <w:rsid w:val="00524B39"/>
    <w:rsid w:val="00526E28"/>
    <w:rsid w:val="00532F85"/>
    <w:rsid w:val="005353A7"/>
    <w:rsid w:val="00535FB3"/>
    <w:rsid w:val="005412A8"/>
    <w:rsid w:val="00544169"/>
    <w:rsid w:val="00550DB7"/>
    <w:rsid w:val="00554337"/>
    <w:rsid w:val="00561949"/>
    <w:rsid w:val="00563074"/>
    <w:rsid w:val="00563F36"/>
    <w:rsid w:val="00564FB4"/>
    <w:rsid w:val="005656CE"/>
    <w:rsid w:val="005714EF"/>
    <w:rsid w:val="0057495A"/>
    <w:rsid w:val="00575323"/>
    <w:rsid w:val="00576B19"/>
    <w:rsid w:val="005806DD"/>
    <w:rsid w:val="00580E35"/>
    <w:rsid w:val="00581A75"/>
    <w:rsid w:val="00582C76"/>
    <w:rsid w:val="005957B9"/>
    <w:rsid w:val="00596DEB"/>
    <w:rsid w:val="005A43D4"/>
    <w:rsid w:val="005A6142"/>
    <w:rsid w:val="005B34F5"/>
    <w:rsid w:val="005B424B"/>
    <w:rsid w:val="005B5BA4"/>
    <w:rsid w:val="005C7269"/>
    <w:rsid w:val="005C761E"/>
    <w:rsid w:val="005D520D"/>
    <w:rsid w:val="005D6DAC"/>
    <w:rsid w:val="005D76EE"/>
    <w:rsid w:val="005E0AA6"/>
    <w:rsid w:val="005E1AB0"/>
    <w:rsid w:val="005E201D"/>
    <w:rsid w:val="005E4610"/>
    <w:rsid w:val="005E587B"/>
    <w:rsid w:val="005E700C"/>
    <w:rsid w:val="005F04B9"/>
    <w:rsid w:val="005F0792"/>
    <w:rsid w:val="005F0870"/>
    <w:rsid w:val="005F1C6E"/>
    <w:rsid w:val="005F5923"/>
    <w:rsid w:val="00601181"/>
    <w:rsid w:val="006022D5"/>
    <w:rsid w:val="00602E46"/>
    <w:rsid w:val="0060777A"/>
    <w:rsid w:val="00610D08"/>
    <w:rsid w:val="00611A72"/>
    <w:rsid w:val="006121FB"/>
    <w:rsid w:val="00623757"/>
    <w:rsid w:val="00625FBB"/>
    <w:rsid w:val="00627917"/>
    <w:rsid w:val="00627AE5"/>
    <w:rsid w:val="00630395"/>
    <w:rsid w:val="006351A2"/>
    <w:rsid w:val="00636DD1"/>
    <w:rsid w:val="00642064"/>
    <w:rsid w:val="00642A64"/>
    <w:rsid w:val="00643FF3"/>
    <w:rsid w:val="006452F3"/>
    <w:rsid w:val="00655944"/>
    <w:rsid w:val="00656CD3"/>
    <w:rsid w:val="00663057"/>
    <w:rsid w:val="006640C2"/>
    <w:rsid w:val="00664216"/>
    <w:rsid w:val="00665F3E"/>
    <w:rsid w:val="006713C5"/>
    <w:rsid w:val="0067381F"/>
    <w:rsid w:val="00674975"/>
    <w:rsid w:val="00675560"/>
    <w:rsid w:val="006756CA"/>
    <w:rsid w:val="006774CB"/>
    <w:rsid w:val="006817FD"/>
    <w:rsid w:val="00683A81"/>
    <w:rsid w:val="00684BDB"/>
    <w:rsid w:val="00685403"/>
    <w:rsid w:val="0068713B"/>
    <w:rsid w:val="00687A4F"/>
    <w:rsid w:val="00687ABC"/>
    <w:rsid w:val="006967BD"/>
    <w:rsid w:val="006A12A7"/>
    <w:rsid w:val="006A1A1E"/>
    <w:rsid w:val="006A3EB8"/>
    <w:rsid w:val="006A63ED"/>
    <w:rsid w:val="006B0132"/>
    <w:rsid w:val="006B07E6"/>
    <w:rsid w:val="006B27C2"/>
    <w:rsid w:val="006B4EAD"/>
    <w:rsid w:val="006D6858"/>
    <w:rsid w:val="006E7F66"/>
    <w:rsid w:val="006F292E"/>
    <w:rsid w:val="006F3B7D"/>
    <w:rsid w:val="006F5954"/>
    <w:rsid w:val="006F6A15"/>
    <w:rsid w:val="006F7444"/>
    <w:rsid w:val="006F7A6E"/>
    <w:rsid w:val="007006D4"/>
    <w:rsid w:val="0071025D"/>
    <w:rsid w:val="0071254E"/>
    <w:rsid w:val="0071302C"/>
    <w:rsid w:val="007140ED"/>
    <w:rsid w:val="007145E7"/>
    <w:rsid w:val="00715976"/>
    <w:rsid w:val="0072084E"/>
    <w:rsid w:val="00726681"/>
    <w:rsid w:val="00727CF0"/>
    <w:rsid w:val="00731428"/>
    <w:rsid w:val="0073513F"/>
    <w:rsid w:val="0073546C"/>
    <w:rsid w:val="00735BCE"/>
    <w:rsid w:val="00736DBC"/>
    <w:rsid w:val="00737180"/>
    <w:rsid w:val="00737E78"/>
    <w:rsid w:val="00737F2F"/>
    <w:rsid w:val="00740D20"/>
    <w:rsid w:val="00741F38"/>
    <w:rsid w:val="00746E35"/>
    <w:rsid w:val="00751A50"/>
    <w:rsid w:val="007534E3"/>
    <w:rsid w:val="00756CEE"/>
    <w:rsid w:val="00760AB8"/>
    <w:rsid w:val="00765106"/>
    <w:rsid w:val="00765783"/>
    <w:rsid w:val="00772020"/>
    <w:rsid w:val="007724DD"/>
    <w:rsid w:val="00773DF5"/>
    <w:rsid w:val="00775D40"/>
    <w:rsid w:val="00776304"/>
    <w:rsid w:val="007824A1"/>
    <w:rsid w:val="00784C33"/>
    <w:rsid w:val="007872B4"/>
    <w:rsid w:val="007877C7"/>
    <w:rsid w:val="00794DEC"/>
    <w:rsid w:val="0079760E"/>
    <w:rsid w:val="007B06AF"/>
    <w:rsid w:val="007B486A"/>
    <w:rsid w:val="007B7687"/>
    <w:rsid w:val="007C37F4"/>
    <w:rsid w:val="007C53FB"/>
    <w:rsid w:val="007C691A"/>
    <w:rsid w:val="007D07C5"/>
    <w:rsid w:val="007D2BD9"/>
    <w:rsid w:val="007D3F22"/>
    <w:rsid w:val="007D41F7"/>
    <w:rsid w:val="007D60E6"/>
    <w:rsid w:val="007D7FE5"/>
    <w:rsid w:val="007E451A"/>
    <w:rsid w:val="007E5FD2"/>
    <w:rsid w:val="007E61BE"/>
    <w:rsid w:val="007F0AD2"/>
    <w:rsid w:val="007F20C6"/>
    <w:rsid w:val="007F2334"/>
    <w:rsid w:val="007F38F6"/>
    <w:rsid w:val="007F5287"/>
    <w:rsid w:val="007F55BD"/>
    <w:rsid w:val="00803339"/>
    <w:rsid w:val="00803CC1"/>
    <w:rsid w:val="00811714"/>
    <w:rsid w:val="008117D6"/>
    <w:rsid w:val="008151D9"/>
    <w:rsid w:val="008212F6"/>
    <w:rsid w:val="00821783"/>
    <w:rsid w:val="00822CA5"/>
    <w:rsid w:val="008246B1"/>
    <w:rsid w:val="0082482A"/>
    <w:rsid w:val="00831340"/>
    <w:rsid w:val="00832067"/>
    <w:rsid w:val="00833A00"/>
    <w:rsid w:val="008358D5"/>
    <w:rsid w:val="00836576"/>
    <w:rsid w:val="00840731"/>
    <w:rsid w:val="008413E3"/>
    <w:rsid w:val="00845DFD"/>
    <w:rsid w:val="008513EC"/>
    <w:rsid w:val="00862947"/>
    <w:rsid w:val="00862E76"/>
    <w:rsid w:val="00865EAE"/>
    <w:rsid w:val="00866EB2"/>
    <w:rsid w:val="008758AD"/>
    <w:rsid w:val="00875D08"/>
    <w:rsid w:val="00875D22"/>
    <w:rsid w:val="00876098"/>
    <w:rsid w:val="00880571"/>
    <w:rsid w:val="00881C2B"/>
    <w:rsid w:val="00884A12"/>
    <w:rsid w:val="0089044F"/>
    <w:rsid w:val="0089117D"/>
    <w:rsid w:val="008913FB"/>
    <w:rsid w:val="00891822"/>
    <w:rsid w:val="008919E5"/>
    <w:rsid w:val="00893B93"/>
    <w:rsid w:val="00893F90"/>
    <w:rsid w:val="0089472F"/>
    <w:rsid w:val="008A210F"/>
    <w:rsid w:val="008A4195"/>
    <w:rsid w:val="008B054E"/>
    <w:rsid w:val="008B5EB8"/>
    <w:rsid w:val="008C18C2"/>
    <w:rsid w:val="008C2F02"/>
    <w:rsid w:val="008C3AE9"/>
    <w:rsid w:val="008C67F2"/>
    <w:rsid w:val="008D0194"/>
    <w:rsid w:val="008D035F"/>
    <w:rsid w:val="008D08EF"/>
    <w:rsid w:val="008D0F5F"/>
    <w:rsid w:val="008D1C69"/>
    <w:rsid w:val="008D248B"/>
    <w:rsid w:val="008D2911"/>
    <w:rsid w:val="008F0617"/>
    <w:rsid w:val="008F0E98"/>
    <w:rsid w:val="008F1CCC"/>
    <w:rsid w:val="008F1FCE"/>
    <w:rsid w:val="008F4D89"/>
    <w:rsid w:val="008F746C"/>
    <w:rsid w:val="00900590"/>
    <w:rsid w:val="0090063F"/>
    <w:rsid w:val="009014B9"/>
    <w:rsid w:val="00902534"/>
    <w:rsid w:val="0090297C"/>
    <w:rsid w:val="00907428"/>
    <w:rsid w:val="009134BE"/>
    <w:rsid w:val="00914134"/>
    <w:rsid w:val="00914991"/>
    <w:rsid w:val="00916216"/>
    <w:rsid w:val="009167E1"/>
    <w:rsid w:val="0092381A"/>
    <w:rsid w:val="0092521E"/>
    <w:rsid w:val="00925880"/>
    <w:rsid w:val="0093740F"/>
    <w:rsid w:val="00940B0F"/>
    <w:rsid w:val="00940DB1"/>
    <w:rsid w:val="00941A46"/>
    <w:rsid w:val="00944C7A"/>
    <w:rsid w:val="00945F06"/>
    <w:rsid w:val="009505C0"/>
    <w:rsid w:val="009517A3"/>
    <w:rsid w:val="00951880"/>
    <w:rsid w:val="00952E36"/>
    <w:rsid w:val="0095441A"/>
    <w:rsid w:val="00955FAE"/>
    <w:rsid w:val="009641E7"/>
    <w:rsid w:val="0096556C"/>
    <w:rsid w:val="009661A6"/>
    <w:rsid w:val="009679E5"/>
    <w:rsid w:val="0097046D"/>
    <w:rsid w:val="00971119"/>
    <w:rsid w:val="009711F5"/>
    <w:rsid w:val="00971737"/>
    <w:rsid w:val="00975274"/>
    <w:rsid w:val="00980DB6"/>
    <w:rsid w:val="00984172"/>
    <w:rsid w:val="00986C27"/>
    <w:rsid w:val="00991B0B"/>
    <w:rsid w:val="00991F32"/>
    <w:rsid w:val="009949CB"/>
    <w:rsid w:val="00994A4C"/>
    <w:rsid w:val="0099540D"/>
    <w:rsid w:val="00996323"/>
    <w:rsid w:val="0099714E"/>
    <w:rsid w:val="009A5C1C"/>
    <w:rsid w:val="009A609A"/>
    <w:rsid w:val="009B17B1"/>
    <w:rsid w:val="009B185B"/>
    <w:rsid w:val="009B4F3F"/>
    <w:rsid w:val="009B60C6"/>
    <w:rsid w:val="009B6623"/>
    <w:rsid w:val="009C1291"/>
    <w:rsid w:val="009C20A3"/>
    <w:rsid w:val="009C3040"/>
    <w:rsid w:val="009C4820"/>
    <w:rsid w:val="009C6BEB"/>
    <w:rsid w:val="009D60F1"/>
    <w:rsid w:val="009E1519"/>
    <w:rsid w:val="009E1933"/>
    <w:rsid w:val="009E28DD"/>
    <w:rsid w:val="009E6A44"/>
    <w:rsid w:val="009F01B2"/>
    <w:rsid w:val="009F4433"/>
    <w:rsid w:val="009F4906"/>
    <w:rsid w:val="009F552C"/>
    <w:rsid w:val="009F6BB6"/>
    <w:rsid w:val="00A02D59"/>
    <w:rsid w:val="00A05120"/>
    <w:rsid w:val="00A11AC4"/>
    <w:rsid w:val="00A12081"/>
    <w:rsid w:val="00A16163"/>
    <w:rsid w:val="00A230CD"/>
    <w:rsid w:val="00A257B3"/>
    <w:rsid w:val="00A25925"/>
    <w:rsid w:val="00A33BD4"/>
    <w:rsid w:val="00A36798"/>
    <w:rsid w:val="00A447BF"/>
    <w:rsid w:val="00A45726"/>
    <w:rsid w:val="00A47105"/>
    <w:rsid w:val="00A47512"/>
    <w:rsid w:val="00A50DEF"/>
    <w:rsid w:val="00A529A2"/>
    <w:rsid w:val="00A541F8"/>
    <w:rsid w:val="00A57FC1"/>
    <w:rsid w:val="00A6438E"/>
    <w:rsid w:val="00A644D6"/>
    <w:rsid w:val="00A64C2B"/>
    <w:rsid w:val="00A665A5"/>
    <w:rsid w:val="00A665CD"/>
    <w:rsid w:val="00A66A9E"/>
    <w:rsid w:val="00A766EF"/>
    <w:rsid w:val="00A807AF"/>
    <w:rsid w:val="00A817A6"/>
    <w:rsid w:val="00A85C20"/>
    <w:rsid w:val="00A86BCE"/>
    <w:rsid w:val="00A94E5E"/>
    <w:rsid w:val="00A973A5"/>
    <w:rsid w:val="00A9785C"/>
    <w:rsid w:val="00AB3285"/>
    <w:rsid w:val="00AB59BB"/>
    <w:rsid w:val="00AB621E"/>
    <w:rsid w:val="00AB6685"/>
    <w:rsid w:val="00AB7A64"/>
    <w:rsid w:val="00AC3435"/>
    <w:rsid w:val="00AC54AC"/>
    <w:rsid w:val="00AD530A"/>
    <w:rsid w:val="00AD59EE"/>
    <w:rsid w:val="00AD677A"/>
    <w:rsid w:val="00AE0061"/>
    <w:rsid w:val="00AE3B5D"/>
    <w:rsid w:val="00AE7316"/>
    <w:rsid w:val="00AF0171"/>
    <w:rsid w:val="00AF1D8B"/>
    <w:rsid w:val="00AF362A"/>
    <w:rsid w:val="00AF7712"/>
    <w:rsid w:val="00B0208E"/>
    <w:rsid w:val="00B022D9"/>
    <w:rsid w:val="00B05334"/>
    <w:rsid w:val="00B12D79"/>
    <w:rsid w:val="00B140D1"/>
    <w:rsid w:val="00B150AF"/>
    <w:rsid w:val="00B152EE"/>
    <w:rsid w:val="00B16028"/>
    <w:rsid w:val="00B20469"/>
    <w:rsid w:val="00B215EF"/>
    <w:rsid w:val="00B24AF0"/>
    <w:rsid w:val="00B24B85"/>
    <w:rsid w:val="00B24E84"/>
    <w:rsid w:val="00B2547C"/>
    <w:rsid w:val="00B31AFB"/>
    <w:rsid w:val="00B32091"/>
    <w:rsid w:val="00B32CDB"/>
    <w:rsid w:val="00B33ACA"/>
    <w:rsid w:val="00B37ECD"/>
    <w:rsid w:val="00B413C1"/>
    <w:rsid w:val="00B46159"/>
    <w:rsid w:val="00B5017C"/>
    <w:rsid w:val="00B50EB6"/>
    <w:rsid w:val="00B511C8"/>
    <w:rsid w:val="00B57F0E"/>
    <w:rsid w:val="00B60502"/>
    <w:rsid w:val="00B64A76"/>
    <w:rsid w:val="00B64AD3"/>
    <w:rsid w:val="00B65EAD"/>
    <w:rsid w:val="00B72518"/>
    <w:rsid w:val="00B73AF7"/>
    <w:rsid w:val="00B74723"/>
    <w:rsid w:val="00B75DBE"/>
    <w:rsid w:val="00B817F8"/>
    <w:rsid w:val="00B82C7A"/>
    <w:rsid w:val="00B86F9A"/>
    <w:rsid w:val="00B901AD"/>
    <w:rsid w:val="00B90B15"/>
    <w:rsid w:val="00B936F7"/>
    <w:rsid w:val="00B95E2D"/>
    <w:rsid w:val="00BA4214"/>
    <w:rsid w:val="00BB210A"/>
    <w:rsid w:val="00BB24D3"/>
    <w:rsid w:val="00BB2585"/>
    <w:rsid w:val="00BB47D7"/>
    <w:rsid w:val="00BB6E9A"/>
    <w:rsid w:val="00BC07E3"/>
    <w:rsid w:val="00BC305F"/>
    <w:rsid w:val="00BC5CA7"/>
    <w:rsid w:val="00BE2417"/>
    <w:rsid w:val="00BE6B33"/>
    <w:rsid w:val="00BF00EB"/>
    <w:rsid w:val="00BF0A5B"/>
    <w:rsid w:val="00BF3396"/>
    <w:rsid w:val="00C002C6"/>
    <w:rsid w:val="00C01D14"/>
    <w:rsid w:val="00C0306D"/>
    <w:rsid w:val="00C071F0"/>
    <w:rsid w:val="00C075EF"/>
    <w:rsid w:val="00C07981"/>
    <w:rsid w:val="00C1001A"/>
    <w:rsid w:val="00C106A5"/>
    <w:rsid w:val="00C1767F"/>
    <w:rsid w:val="00C20E76"/>
    <w:rsid w:val="00C23208"/>
    <w:rsid w:val="00C347CC"/>
    <w:rsid w:val="00C424D3"/>
    <w:rsid w:val="00C4273C"/>
    <w:rsid w:val="00C42F3D"/>
    <w:rsid w:val="00C431DF"/>
    <w:rsid w:val="00C44883"/>
    <w:rsid w:val="00C46313"/>
    <w:rsid w:val="00C46EF0"/>
    <w:rsid w:val="00C50BA5"/>
    <w:rsid w:val="00C54510"/>
    <w:rsid w:val="00C57C73"/>
    <w:rsid w:val="00C607D7"/>
    <w:rsid w:val="00C62A0F"/>
    <w:rsid w:val="00C6397D"/>
    <w:rsid w:val="00C70E97"/>
    <w:rsid w:val="00C71957"/>
    <w:rsid w:val="00C71C08"/>
    <w:rsid w:val="00C7423E"/>
    <w:rsid w:val="00C74FAA"/>
    <w:rsid w:val="00C762AA"/>
    <w:rsid w:val="00C77DD4"/>
    <w:rsid w:val="00C80EE9"/>
    <w:rsid w:val="00C82765"/>
    <w:rsid w:val="00C8342C"/>
    <w:rsid w:val="00C83A1E"/>
    <w:rsid w:val="00C847DD"/>
    <w:rsid w:val="00C8705B"/>
    <w:rsid w:val="00C876E9"/>
    <w:rsid w:val="00C9158A"/>
    <w:rsid w:val="00C94A68"/>
    <w:rsid w:val="00C94E1A"/>
    <w:rsid w:val="00C968CF"/>
    <w:rsid w:val="00CA0B96"/>
    <w:rsid w:val="00CA44F5"/>
    <w:rsid w:val="00CB3345"/>
    <w:rsid w:val="00CB4531"/>
    <w:rsid w:val="00CB6461"/>
    <w:rsid w:val="00CC593B"/>
    <w:rsid w:val="00CC6F95"/>
    <w:rsid w:val="00CD576B"/>
    <w:rsid w:val="00CD77F3"/>
    <w:rsid w:val="00CD7967"/>
    <w:rsid w:val="00CE2E4B"/>
    <w:rsid w:val="00CE5BCA"/>
    <w:rsid w:val="00CF16B2"/>
    <w:rsid w:val="00CF2AF6"/>
    <w:rsid w:val="00CF2B43"/>
    <w:rsid w:val="00D02948"/>
    <w:rsid w:val="00D03A74"/>
    <w:rsid w:val="00D0517B"/>
    <w:rsid w:val="00D052D0"/>
    <w:rsid w:val="00D054A5"/>
    <w:rsid w:val="00D069BE"/>
    <w:rsid w:val="00D070E8"/>
    <w:rsid w:val="00D13031"/>
    <w:rsid w:val="00D1738B"/>
    <w:rsid w:val="00D25A5D"/>
    <w:rsid w:val="00D2645E"/>
    <w:rsid w:val="00D26D80"/>
    <w:rsid w:val="00D309E5"/>
    <w:rsid w:val="00D3509E"/>
    <w:rsid w:val="00D36A42"/>
    <w:rsid w:val="00D41EC3"/>
    <w:rsid w:val="00D427E8"/>
    <w:rsid w:val="00D429F5"/>
    <w:rsid w:val="00D42E6D"/>
    <w:rsid w:val="00D44A32"/>
    <w:rsid w:val="00D45D86"/>
    <w:rsid w:val="00D45DB5"/>
    <w:rsid w:val="00D475ED"/>
    <w:rsid w:val="00D51B98"/>
    <w:rsid w:val="00D53B2E"/>
    <w:rsid w:val="00D54C1D"/>
    <w:rsid w:val="00D566DB"/>
    <w:rsid w:val="00D5732E"/>
    <w:rsid w:val="00D632FB"/>
    <w:rsid w:val="00D6498D"/>
    <w:rsid w:val="00D65F96"/>
    <w:rsid w:val="00D664CC"/>
    <w:rsid w:val="00D81924"/>
    <w:rsid w:val="00D81A8A"/>
    <w:rsid w:val="00D81C72"/>
    <w:rsid w:val="00D8788C"/>
    <w:rsid w:val="00D91096"/>
    <w:rsid w:val="00D91D9F"/>
    <w:rsid w:val="00D920A8"/>
    <w:rsid w:val="00D93490"/>
    <w:rsid w:val="00D93BB1"/>
    <w:rsid w:val="00DA3196"/>
    <w:rsid w:val="00DA51D3"/>
    <w:rsid w:val="00DB11CE"/>
    <w:rsid w:val="00DB2F52"/>
    <w:rsid w:val="00DC02F0"/>
    <w:rsid w:val="00DC0743"/>
    <w:rsid w:val="00DC1066"/>
    <w:rsid w:val="00DC1B4A"/>
    <w:rsid w:val="00DC2ACA"/>
    <w:rsid w:val="00DC2BAF"/>
    <w:rsid w:val="00DC2CA2"/>
    <w:rsid w:val="00DC32C2"/>
    <w:rsid w:val="00DC32E0"/>
    <w:rsid w:val="00DC5E88"/>
    <w:rsid w:val="00DC6F79"/>
    <w:rsid w:val="00DD149B"/>
    <w:rsid w:val="00DD1999"/>
    <w:rsid w:val="00DD2FFC"/>
    <w:rsid w:val="00DD321B"/>
    <w:rsid w:val="00DD3473"/>
    <w:rsid w:val="00DD45A2"/>
    <w:rsid w:val="00DD66C5"/>
    <w:rsid w:val="00DE15CF"/>
    <w:rsid w:val="00DE3295"/>
    <w:rsid w:val="00DE32CF"/>
    <w:rsid w:val="00DE5B96"/>
    <w:rsid w:val="00DE6136"/>
    <w:rsid w:val="00DE64EC"/>
    <w:rsid w:val="00DE769F"/>
    <w:rsid w:val="00DF340B"/>
    <w:rsid w:val="00DF4426"/>
    <w:rsid w:val="00DF5396"/>
    <w:rsid w:val="00DF567D"/>
    <w:rsid w:val="00E03761"/>
    <w:rsid w:val="00E15B1B"/>
    <w:rsid w:val="00E16719"/>
    <w:rsid w:val="00E17309"/>
    <w:rsid w:val="00E21852"/>
    <w:rsid w:val="00E2248E"/>
    <w:rsid w:val="00E236E7"/>
    <w:rsid w:val="00E2604E"/>
    <w:rsid w:val="00E32E91"/>
    <w:rsid w:val="00E334C3"/>
    <w:rsid w:val="00E370B0"/>
    <w:rsid w:val="00E40581"/>
    <w:rsid w:val="00E40C57"/>
    <w:rsid w:val="00E415A7"/>
    <w:rsid w:val="00E45166"/>
    <w:rsid w:val="00E451D0"/>
    <w:rsid w:val="00E45C10"/>
    <w:rsid w:val="00E4713C"/>
    <w:rsid w:val="00E51027"/>
    <w:rsid w:val="00E512EA"/>
    <w:rsid w:val="00E51DA6"/>
    <w:rsid w:val="00E5435C"/>
    <w:rsid w:val="00E54415"/>
    <w:rsid w:val="00E5472A"/>
    <w:rsid w:val="00E57FAD"/>
    <w:rsid w:val="00E60022"/>
    <w:rsid w:val="00E6323B"/>
    <w:rsid w:val="00E63F4A"/>
    <w:rsid w:val="00E6484F"/>
    <w:rsid w:val="00E64A90"/>
    <w:rsid w:val="00E722EE"/>
    <w:rsid w:val="00E72D93"/>
    <w:rsid w:val="00E80AE0"/>
    <w:rsid w:val="00E826F7"/>
    <w:rsid w:val="00E87CF4"/>
    <w:rsid w:val="00E900F7"/>
    <w:rsid w:val="00E9029E"/>
    <w:rsid w:val="00E9236C"/>
    <w:rsid w:val="00E92396"/>
    <w:rsid w:val="00E93447"/>
    <w:rsid w:val="00E939D7"/>
    <w:rsid w:val="00E95DBA"/>
    <w:rsid w:val="00EA0550"/>
    <w:rsid w:val="00EA5FD8"/>
    <w:rsid w:val="00EA6D33"/>
    <w:rsid w:val="00EA7AA2"/>
    <w:rsid w:val="00EB1E2C"/>
    <w:rsid w:val="00EB5E24"/>
    <w:rsid w:val="00EC27A3"/>
    <w:rsid w:val="00EC5286"/>
    <w:rsid w:val="00EC5D3A"/>
    <w:rsid w:val="00EC690F"/>
    <w:rsid w:val="00ED4ACA"/>
    <w:rsid w:val="00ED52DA"/>
    <w:rsid w:val="00ED6543"/>
    <w:rsid w:val="00ED6C78"/>
    <w:rsid w:val="00ED71A8"/>
    <w:rsid w:val="00EE0633"/>
    <w:rsid w:val="00EE0B30"/>
    <w:rsid w:val="00EE11CA"/>
    <w:rsid w:val="00EF00A8"/>
    <w:rsid w:val="00F00C1F"/>
    <w:rsid w:val="00F025C0"/>
    <w:rsid w:val="00F029C9"/>
    <w:rsid w:val="00F03DB0"/>
    <w:rsid w:val="00F04FB1"/>
    <w:rsid w:val="00F07499"/>
    <w:rsid w:val="00F10FFC"/>
    <w:rsid w:val="00F20765"/>
    <w:rsid w:val="00F217D5"/>
    <w:rsid w:val="00F22D89"/>
    <w:rsid w:val="00F27368"/>
    <w:rsid w:val="00F32B7B"/>
    <w:rsid w:val="00F33291"/>
    <w:rsid w:val="00F35FA3"/>
    <w:rsid w:val="00F36690"/>
    <w:rsid w:val="00F374AE"/>
    <w:rsid w:val="00F42832"/>
    <w:rsid w:val="00F430D3"/>
    <w:rsid w:val="00F44B2F"/>
    <w:rsid w:val="00F47BEC"/>
    <w:rsid w:val="00F535AA"/>
    <w:rsid w:val="00F62014"/>
    <w:rsid w:val="00F6283E"/>
    <w:rsid w:val="00F671F0"/>
    <w:rsid w:val="00F70AA6"/>
    <w:rsid w:val="00F71241"/>
    <w:rsid w:val="00F72CA9"/>
    <w:rsid w:val="00F74CB9"/>
    <w:rsid w:val="00F75EA4"/>
    <w:rsid w:val="00F76ACC"/>
    <w:rsid w:val="00F80BB3"/>
    <w:rsid w:val="00F83F95"/>
    <w:rsid w:val="00F90731"/>
    <w:rsid w:val="00F93E8C"/>
    <w:rsid w:val="00F94B2A"/>
    <w:rsid w:val="00F95068"/>
    <w:rsid w:val="00F95A7A"/>
    <w:rsid w:val="00F96C27"/>
    <w:rsid w:val="00FA0160"/>
    <w:rsid w:val="00FA24E1"/>
    <w:rsid w:val="00FA67BA"/>
    <w:rsid w:val="00FB2A68"/>
    <w:rsid w:val="00FB767B"/>
    <w:rsid w:val="00FB7F11"/>
    <w:rsid w:val="00FC0CF4"/>
    <w:rsid w:val="00FC5E19"/>
    <w:rsid w:val="00FC6A0B"/>
    <w:rsid w:val="00FD00D3"/>
    <w:rsid w:val="00FD0187"/>
    <w:rsid w:val="00FD0F6A"/>
    <w:rsid w:val="00FD5144"/>
    <w:rsid w:val="00FD7F23"/>
    <w:rsid w:val="00FE1131"/>
    <w:rsid w:val="00FE4473"/>
    <w:rsid w:val="00FE4593"/>
    <w:rsid w:val="00FE49FD"/>
    <w:rsid w:val="00FE5590"/>
    <w:rsid w:val="00FF1B1F"/>
    <w:rsid w:val="00FF3EE4"/>
    <w:rsid w:val="013B5C89"/>
    <w:rsid w:val="0147153B"/>
    <w:rsid w:val="016A000A"/>
    <w:rsid w:val="018963E4"/>
    <w:rsid w:val="019B2F5B"/>
    <w:rsid w:val="01BA61B0"/>
    <w:rsid w:val="01C22432"/>
    <w:rsid w:val="01D86637"/>
    <w:rsid w:val="01DF2744"/>
    <w:rsid w:val="02647ECA"/>
    <w:rsid w:val="02661E94"/>
    <w:rsid w:val="028B36A9"/>
    <w:rsid w:val="02D0730E"/>
    <w:rsid w:val="02D432A2"/>
    <w:rsid w:val="02D56F8A"/>
    <w:rsid w:val="02E1728D"/>
    <w:rsid w:val="03710AF1"/>
    <w:rsid w:val="03766107"/>
    <w:rsid w:val="0398204F"/>
    <w:rsid w:val="03990047"/>
    <w:rsid w:val="03C41E96"/>
    <w:rsid w:val="03C95CC4"/>
    <w:rsid w:val="042B5143"/>
    <w:rsid w:val="05090F5F"/>
    <w:rsid w:val="05967895"/>
    <w:rsid w:val="05EA2DDC"/>
    <w:rsid w:val="05EC26B0"/>
    <w:rsid w:val="06097214"/>
    <w:rsid w:val="060F2843"/>
    <w:rsid w:val="0626507B"/>
    <w:rsid w:val="06846D8D"/>
    <w:rsid w:val="06DF5D71"/>
    <w:rsid w:val="073C31C4"/>
    <w:rsid w:val="07701EFB"/>
    <w:rsid w:val="078F59E9"/>
    <w:rsid w:val="07971FD7"/>
    <w:rsid w:val="07BC4304"/>
    <w:rsid w:val="07BE53C7"/>
    <w:rsid w:val="07CB18B3"/>
    <w:rsid w:val="08B1373D"/>
    <w:rsid w:val="08CC0CF2"/>
    <w:rsid w:val="08D12032"/>
    <w:rsid w:val="08E56336"/>
    <w:rsid w:val="08E84249"/>
    <w:rsid w:val="0935611C"/>
    <w:rsid w:val="095347F5"/>
    <w:rsid w:val="09684744"/>
    <w:rsid w:val="09866978"/>
    <w:rsid w:val="09992B4F"/>
    <w:rsid w:val="09B47A8A"/>
    <w:rsid w:val="09B51169"/>
    <w:rsid w:val="0A5C2C9E"/>
    <w:rsid w:val="0A747118"/>
    <w:rsid w:val="0AB063A2"/>
    <w:rsid w:val="0ACB31DC"/>
    <w:rsid w:val="0B0960C8"/>
    <w:rsid w:val="0B0E4E77"/>
    <w:rsid w:val="0B112BB9"/>
    <w:rsid w:val="0B1C3C95"/>
    <w:rsid w:val="0B21104E"/>
    <w:rsid w:val="0B873265"/>
    <w:rsid w:val="0B9A495D"/>
    <w:rsid w:val="0BBA4FFF"/>
    <w:rsid w:val="0BED2CDE"/>
    <w:rsid w:val="0C087900"/>
    <w:rsid w:val="0C0D15D3"/>
    <w:rsid w:val="0C8A677F"/>
    <w:rsid w:val="0C9D4705"/>
    <w:rsid w:val="0CA94B6C"/>
    <w:rsid w:val="0CD93263"/>
    <w:rsid w:val="0CE9794A"/>
    <w:rsid w:val="0D1C22AB"/>
    <w:rsid w:val="0D5F7C0C"/>
    <w:rsid w:val="0D7511DD"/>
    <w:rsid w:val="0D786F20"/>
    <w:rsid w:val="0D8B27AF"/>
    <w:rsid w:val="0DA10224"/>
    <w:rsid w:val="0DB1381F"/>
    <w:rsid w:val="0DBC0B6A"/>
    <w:rsid w:val="0DD95751"/>
    <w:rsid w:val="0DDC300B"/>
    <w:rsid w:val="0DEF4E62"/>
    <w:rsid w:val="0DF30354"/>
    <w:rsid w:val="0DF540CC"/>
    <w:rsid w:val="0E0802A4"/>
    <w:rsid w:val="0E217DAF"/>
    <w:rsid w:val="0E2A1FC8"/>
    <w:rsid w:val="0E3B4A9C"/>
    <w:rsid w:val="0E511C4A"/>
    <w:rsid w:val="0E574D87"/>
    <w:rsid w:val="0E5E61B5"/>
    <w:rsid w:val="0ED65CAC"/>
    <w:rsid w:val="0EF35A6E"/>
    <w:rsid w:val="0FE12B5A"/>
    <w:rsid w:val="101747CE"/>
    <w:rsid w:val="1074577C"/>
    <w:rsid w:val="10AD0C8E"/>
    <w:rsid w:val="10B14C22"/>
    <w:rsid w:val="10C2019C"/>
    <w:rsid w:val="10C2298C"/>
    <w:rsid w:val="10E36DA6"/>
    <w:rsid w:val="10F468BD"/>
    <w:rsid w:val="110268D7"/>
    <w:rsid w:val="111451B1"/>
    <w:rsid w:val="118C49D4"/>
    <w:rsid w:val="11930608"/>
    <w:rsid w:val="11BA3663"/>
    <w:rsid w:val="11E85311"/>
    <w:rsid w:val="123B52DE"/>
    <w:rsid w:val="127777A6"/>
    <w:rsid w:val="12816603"/>
    <w:rsid w:val="12A316D2"/>
    <w:rsid w:val="12FE1C75"/>
    <w:rsid w:val="13655850"/>
    <w:rsid w:val="13803506"/>
    <w:rsid w:val="138228A6"/>
    <w:rsid w:val="13AD4EA0"/>
    <w:rsid w:val="13C64CE3"/>
    <w:rsid w:val="143376FC"/>
    <w:rsid w:val="14A64372"/>
    <w:rsid w:val="14CD7B51"/>
    <w:rsid w:val="14DE5AE4"/>
    <w:rsid w:val="1525798D"/>
    <w:rsid w:val="155913E5"/>
    <w:rsid w:val="159468C1"/>
    <w:rsid w:val="15B42ABF"/>
    <w:rsid w:val="15F2245E"/>
    <w:rsid w:val="163A1216"/>
    <w:rsid w:val="163D2AB4"/>
    <w:rsid w:val="16571DC8"/>
    <w:rsid w:val="166D339A"/>
    <w:rsid w:val="16723602"/>
    <w:rsid w:val="167C538B"/>
    <w:rsid w:val="168B3820"/>
    <w:rsid w:val="16E24212"/>
    <w:rsid w:val="17045223"/>
    <w:rsid w:val="170A508C"/>
    <w:rsid w:val="172B0B5F"/>
    <w:rsid w:val="17502693"/>
    <w:rsid w:val="17A70B2D"/>
    <w:rsid w:val="17F17FFA"/>
    <w:rsid w:val="18194E5B"/>
    <w:rsid w:val="181A12FF"/>
    <w:rsid w:val="18273A1C"/>
    <w:rsid w:val="18506ACF"/>
    <w:rsid w:val="18846779"/>
    <w:rsid w:val="18BD4529"/>
    <w:rsid w:val="18E67433"/>
    <w:rsid w:val="18F13B78"/>
    <w:rsid w:val="190E24E6"/>
    <w:rsid w:val="191A26FE"/>
    <w:rsid w:val="191F0793"/>
    <w:rsid w:val="19A90B8D"/>
    <w:rsid w:val="19C37774"/>
    <w:rsid w:val="19CA465F"/>
    <w:rsid w:val="19FD67E3"/>
    <w:rsid w:val="1A1678A4"/>
    <w:rsid w:val="1A5403CD"/>
    <w:rsid w:val="1A9F789A"/>
    <w:rsid w:val="1AB377E9"/>
    <w:rsid w:val="1AED2CFB"/>
    <w:rsid w:val="1AF63148"/>
    <w:rsid w:val="1B040045"/>
    <w:rsid w:val="1B9118D8"/>
    <w:rsid w:val="1BAD248A"/>
    <w:rsid w:val="1C4032FE"/>
    <w:rsid w:val="1C5D7A0C"/>
    <w:rsid w:val="1CA67605"/>
    <w:rsid w:val="1CFC7225"/>
    <w:rsid w:val="1D156539"/>
    <w:rsid w:val="1D3544E5"/>
    <w:rsid w:val="1D491D3F"/>
    <w:rsid w:val="1D9456B0"/>
    <w:rsid w:val="1E113AE2"/>
    <w:rsid w:val="1E193E07"/>
    <w:rsid w:val="1E2A5713"/>
    <w:rsid w:val="1E5B61CE"/>
    <w:rsid w:val="1E5E7A6C"/>
    <w:rsid w:val="1EBB6EE8"/>
    <w:rsid w:val="1ED65854"/>
    <w:rsid w:val="1EF503D0"/>
    <w:rsid w:val="1EFB3209"/>
    <w:rsid w:val="1F174732"/>
    <w:rsid w:val="1F325180"/>
    <w:rsid w:val="1F4153C3"/>
    <w:rsid w:val="1F645556"/>
    <w:rsid w:val="1FD75D28"/>
    <w:rsid w:val="1FE817C1"/>
    <w:rsid w:val="201D2FE9"/>
    <w:rsid w:val="20476A09"/>
    <w:rsid w:val="205729C5"/>
    <w:rsid w:val="209244B7"/>
    <w:rsid w:val="209A66F7"/>
    <w:rsid w:val="20D448F3"/>
    <w:rsid w:val="210466A8"/>
    <w:rsid w:val="21350F58"/>
    <w:rsid w:val="21555156"/>
    <w:rsid w:val="21917131"/>
    <w:rsid w:val="21B57D72"/>
    <w:rsid w:val="21E93AF0"/>
    <w:rsid w:val="21EE06E6"/>
    <w:rsid w:val="2217240B"/>
    <w:rsid w:val="222D1C2F"/>
    <w:rsid w:val="22663C78"/>
    <w:rsid w:val="227B299A"/>
    <w:rsid w:val="228850B7"/>
    <w:rsid w:val="22AA14D2"/>
    <w:rsid w:val="22F12A69"/>
    <w:rsid w:val="23076924"/>
    <w:rsid w:val="23C84B27"/>
    <w:rsid w:val="23E13413"/>
    <w:rsid w:val="23F32A04"/>
    <w:rsid w:val="241F1A4B"/>
    <w:rsid w:val="24594F5D"/>
    <w:rsid w:val="245C67FB"/>
    <w:rsid w:val="24BE74B6"/>
    <w:rsid w:val="24FF3D57"/>
    <w:rsid w:val="25116F24"/>
    <w:rsid w:val="2524556B"/>
    <w:rsid w:val="256D759C"/>
    <w:rsid w:val="2593624D"/>
    <w:rsid w:val="259D0E7A"/>
    <w:rsid w:val="25E847EB"/>
    <w:rsid w:val="270C33D7"/>
    <w:rsid w:val="27D112AE"/>
    <w:rsid w:val="27D327E3"/>
    <w:rsid w:val="284714C8"/>
    <w:rsid w:val="284877C3"/>
    <w:rsid w:val="28AF15F0"/>
    <w:rsid w:val="28F214DC"/>
    <w:rsid w:val="29231FDE"/>
    <w:rsid w:val="292A336C"/>
    <w:rsid w:val="298F4F7D"/>
    <w:rsid w:val="29982084"/>
    <w:rsid w:val="29AC3D81"/>
    <w:rsid w:val="29AE18A7"/>
    <w:rsid w:val="29B0259B"/>
    <w:rsid w:val="29C43A74"/>
    <w:rsid w:val="29D46E34"/>
    <w:rsid w:val="29E259F5"/>
    <w:rsid w:val="29E7300B"/>
    <w:rsid w:val="29EE4224"/>
    <w:rsid w:val="2A3A313B"/>
    <w:rsid w:val="2A426494"/>
    <w:rsid w:val="2A742AF1"/>
    <w:rsid w:val="2AC45370"/>
    <w:rsid w:val="2AE81FC6"/>
    <w:rsid w:val="2B076715"/>
    <w:rsid w:val="2B084FE7"/>
    <w:rsid w:val="2B133BB3"/>
    <w:rsid w:val="2B66551B"/>
    <w:rsid w:val="2BBF5FEE"/>
    <w:rsid w:val="2BCC24B9"/>
    <w:rsid w:val="2C4E2ECE"/>
    <w:rsid w:val="2C652EE7"/>
    <w:rsid w:val="2C695F59"/>
    <w:rsid w:val="2CEE645F"/>
    <w:rsid w:val="2D0B0DBF"/>
    <w:rsid w:val="2D2E5AB7"/>
    <w:rsid w:val="2D483DC1"/>
    <w:rsid w:val="2D92328E"/>
    <w:rsid w:val="2D9B0395"/>
    <w:rsid w:val="2DC717FA"/>
    <w:rsid w:val="2DD80383"/>
    <w:rsid w:val="2DDB69E3"/>
    <w:rsid w:val="2E073C7C"/>
    <w:rsid w:val="2E093550"/>
    <w:rsid w:val="2E8452CD"/>
    <w:rsid w:val="2E913546"/>
    <w:rsid w:val="2E9D638E"/>
    <w:rsid w:val="2EB90C1A"/>
    <w:rsid w:val="2EC8630A"/>
    <w:rsid w:val="2ED23AC0"/>
    <w:rsid w:val="2EE1627B"/>
    <w:rsid w:val="2EE318F0"/>
    <w:rsid w:val="2EEE2746"/>
    <w:rsid w:val="2F136972"/>
    <w:rsid w:val="2F2C155F"/>
    <w:rsid w:val="2F2D14C0"/>
    <w:rsid w:val="2F320885"/>
    <w:rsid w:val="2F397E65"/>
    <w:rsid w:val="2F3B1E2F"/>
    <w:rsid w:val="2F8A246F"/>
    <w:rsid w:val="2F9B467C"/>
    <w:rsid w:val="3009471D"/>
    <w:rsid w:val="304C1E1A"/>
    <w:rsid w:val="306E7FE2"/>
    <w:rsid w:val="31532D34"/>
    <w:rsid w:val="31552F50"/>
    <w:rsid w:val="316D3DF6"/>
    <w:rsid w:val="31771119"/>
    <w:rsid w:val="31B048B4"/>
    <w:rsid w:val="31C12394"/>
    <w:rsid w:val="31CA1248"/>
    <w:rsid w:val="32865178"/>
    <w:rsid w:val="329655CE"/>
    <w:rsid w:val="32BC5C8C"/>
    <w:rsid w:val="32CB5278"/>
    <w:rsid w:val="33835B53"/>
    <w:rsid w:val="338F44F8"/>
    <w:rsid w:val="33900270"/>
    <w:rsid w:val="33DB773D"/>
    <w:rsid w:val="33DE722D"/>
    <w:rsid w:val="33E34843"/>
    <w:rsid w:val="33EB24E0"/>
    <w:rsid w:val="33EC3364"/>
    <w:rsid w:val="343230D5"/>
    <w:rsid w:val="344C4197"/>
    <w:rsid w:val="347B7C39"/>
    <w:rsid w:val="34847DD4"/>
    <w:rsid w:val="34DA0A32"/>
    <w:rsid w:val="34E660C3"/>
    <w:rsid w:val="34E91A12"/>
    <w:rsid w:val="34E95E89"/>
    <w:rsid w:val="35243365"/>
    <w:rsid w:val="35F745D6"/>
    <w:rsid w:val="3634702E"/>
    <w:rsid w:val="36533F02"/>
    <w:rsid w:val="3656754F"/>
    <w:rsid w:val="36BD137C"/>
    <w:rsid w:val="37C01736"/>
    <w:rsid w:val="37CB002F"/>
    <w:rsid w:val="38233460"/>
    <w:rsid w:val="386C3059"/>
    <w:rsid w:val="38BE762D"/>
    <w:rsid w:val="39220096"/>
    <w:rsid w:val="393A417B"/>
    <w:rsid w:val="39F257E0"/>
    <w:rsid w:val="3A1C53DF"/>
    <w:rsid w:val="3A775CE5"/>
    <w:rsid w:val="3A9B7C26"/>
    <w:rsid w:val="3AA7481D"/>
    <w:rsid w:val="3B293484"/>
    <w:rsid w:val="3B514085"/>
    <w:rsid w:val="3B8C3A12"/>
    <w:rsid w:val="3BD17677"/>
    <w:rsid w:val="3BE23CF2"/>
    <w:rsid w:val="3BE64ED1"/>
    <w:rsid w:val="3BFF41E4"/>
    <w:rsid w:val="3C215F09"/>
    <w:rsid w:val="3C2D0D52"/>
    <w:rsid w:val="3C5C1637"/>
    <w:rsid w:val="3C7B7D0F"/>
    <w:rsid w:val="3C7C75E3"/>
    <w:rsid w:val="3CA56B3A"/>
    <w:rsid w:val="3CC72F54"/>
    <w:rsid w:val="3D1E4B3E"/>
    <w:rsid w:val="3D2A34E3"/>
    <w:rsid w:val="3DAE7C70"/>
    <w:rsid w:val="3DBB39B1"/>
    <w:rsid w:val="3DD5344F"/>
    <w:rsid w:val="3DF5764D"/>
    <w:rsid w:val="3DFA5371"/>
    <w:rsid w:val="3E1F0B6E"/>
    <w:rsid w:val="3E611186"/>
    <w:rsid w:val="3E8135D7"/>
    <w:rsid w:val="3EC35DCD"/>
    <w:rsid w:val="3F177A97"/>
    <w:rsid w:val="3F3D5750"/>
    <w:rsid w:val="3F7B0026"/>
    <w:rsid w:val="3F9D61EE"/>
    <w:rsid w:val="3FAE21A9"/>
    <w:rsid w:val="3FD17C46"/>
    <w:rsid w:val="3FF102E8"/>
    <w:rsid w:val="3FF67FFC"/>
    <w:rsid w:val="404A1044"/>
    <w:rsid w:val="404D19C2"/>
    <w:rsid w:val="40503261"/>
    <w:rsid w:val="408F317D"/>
    <w:rsid w:val="40B93116"/>
    <w:rsid w:val="40D519B8"/>
    <w:rsid w:val="40D93256"/>
    <w:rsid w:val="40EA7211"/>
    <w:rsid w:val="40EE5171"/>
    <w:rsid w:val="414D154E"/>
    <w:rsid w:val="41526B64"/>
    <w:rsid w:val="415E19AD"/>
    <w:rsid w:val="41A73354"/>
    <w:rsid w:val="41A8354C"/>
    <w:rsid w:val="41E2613A"/>
    <w:rsid w:val="41E82E2D"/>
    <w:rsid w:val="42042555"/>
    <w:rsid w:val="42206713"/>
    <w:rsid w:val="42277FF1"/>
    <w:rsid w:val="42380450"/>
    <w:rsid w:val="423C5808"/>
    <w:rsid w:val="426F381D"/>
    <w:rsid w:val="42705EA1"/>
    <w:rsid w:val="42734FE4"/>
    <w:rsid w:val="4291098B"/>
    <w:rsid w:val="432B1D63"/>
    <w:rsid w:val="43754D8C"/>
    <w:rsid w:val="437B23A2"/>
    <w:rsid w:val="4396542E"/>
    <w:rsid w:val="43D23F8D"/>
    <w:rsid w:val="43D978CE"/>
    <w:rsid w:val="44114AB5"/>
    <w:rsid w:val="444035EC"/>
    <w:rsid w:val="44B71B00"/>
    <w:rsid w:val="44C91833"/>
    <w:rsid w:val="44CD2186"/>
    <w:rsid w:val="44D83825"/>
    <w:rsid w:val="44EA1B2A"/>
    <w:rsid w:val="44F248E6"/>
    <w:rsid w:val="453942C3"/>
    <w:rsid w:val="454D4212"/>
    <w:rsid w:val="45867826"/>
    <w:rsid w:val="45B5093C"/>
    <w:rsid w:val="45B63B66"/>
    <w:rsid w:val="45C902BC"/>
    <w:rsid w:val="467632F5"/>
    <w:rsid w:val="47095D9B"/>
    <w:rsid w:val="471A6376"/>
    <w:rsid w:val="471D2703"/>
    <w:rsid w:val="47EA5D49"/>
    <w:rsid w:val="48447A07"/>
    <w:rsid w:val="4895648D"/>
    <w:rsid w:val="48EC5AF0"/>
    <w:rsid w:val="48F81856"/>
    <w:rsid w:val="494F4BED"/>
    <w:rsid w:val="494F67AB"/>
    <w:rsid w:val="49640030"/>
    <w:rsid w:val="49690EEF"/>
    <w:rsid w:val="49A13F3E"/>
    <w:rsid w:val="49E54A1A"/>
    <w:rsid w:val="4A1E7F2C"/>
    <w:rsid w:val="4A203CA4"/>
    <w:rsid w:val="4A453230"/>
    <w:rsid w:val="4A783AE0"/>
    <w:rsid w:val="4A933558"/>
    <w:rsid w:val="4B1650A7"/>
    <w:rsid w:val="4BA83F51"/>
    <w:rsid w:val="4BCC6C79"/>
    <w:rsid w:val="4BD31A74"/>
    <w:rsid w:val="4BD70D19"/>
    <w:rsid w:val="4BEA4569"/>
    <w:rsid w:val="4C561BFF"/>
    <w:rsid w:val="4CD11285"/>
    <w:rsid w:val="4CDE49A1"/>
    <w:rsid w:val="4D3C7046"/>
    <w:rsid w:val="4D445EFB"/>
    <w:rsid w:val="4D755DCB"/>
    <w:rsid w:val="4D913ADD"/>
    <w:rsid w:val="4DDA060D"/>
    <w:rsid w:val="4DEA6AA2"/>
    <w:rsid w:val="4E0513DE"/>
    <w:rsid w:val="4E0C2A7A"/>
    <w:rsid w:val="4E217FEA"/>
    <w:rsid w:val="4EB470B0"/>
    <w:rsid w:val="4EC45545"/>
    <w:rsid w:val="4F05718E"/>
    <w:rsid w:val="4F2A1121"/>
    <w:rsid w:val="4F560168"/>
    <w:rsid w:val="4F585C8E"/>
    <w:rsid w:val="4F6B24EA"/>
    <w:rsid w:val="4F9A62A6"/>
    <w:rsid w:val="4FA72771"/>
    <w:rsid w:val="4FBA4253"/>
    <w:rsid w:val="4FCE7CFE"/>
    <w:rsid w:val="50401CF1"/>
    <w:rsid w:val="504F52E3"/>
    <w:rsid w:val="505822C9"/>
    <w:rsid w:val="50874A7C"/>
    <w:rsid w:val="509E75C4"/>
    <w:rsid w:val="50AF7B2F"/>
    <w:rsid w:val="511B6F73"/>
    <w:rsid w:val="516E6F17"/>
    <w:rsid w:val="517548ED"/>
    <w:rsid w:val="5181771E"/>
    <w:rsid w:val="51833E1A"/>
    <w:rsid w:val="5197721E"/>
    <w:rsid w:val="51EB103B"/>
    <w:rsid w:val="51FC6DA4"/>
    <w:rsid w:val="5233653E"/>
    <w:rsid w:val="52686118"/>
    <w:rsid w:val="526861E8"/>
    <w:rsid w:val="52D63A99"/>
    <w:rsid w:val="53004672"/>
    <w:rsid w:val="532C190B"/>
    <w:rsid w:val="53A70F92"/>
    <w:rsid w:val="53BF0089"/>
    <w:rsid w:val="53CC27A6"/>
    <w:rsid w:val="542F5F50"/>
    <w:rsid w:val="54915986"/>
    <w:rsid w:val="549332C4"/>
    <w:rsid w:val="54B35714"/>
    <w:rsid w:val="54D3010E"/>
    <w:rsid w:val="5512068D"/>
    <w:rsid w:val="552A1BB1"/>
    <w:rsid w:val="554812ED"/>
    <w:rsid w:val="55B654BC"/>
    <w:rsid w:val="55CD573C"/>
    <w:rsid w:val="55F65E7E"/>
    <w:rsid w:val="5627460C"/>
    <w:rsid w:val="56537B84"/>
    <w:rsid w:val="56593BD9"/>
    <w:rsid w:val="565A5A2A"/>
    <w:rsid w:val="56723DA5"/>
    <w:rsid w:val="573E1C0D"/>
    <w:rsid w:val="57462870"/>
    <w:rsid w:val="57607DD5"/>
    <w:rsid w:val="57A04676"/>
    <w:rsid w:val="57C02622"/>
    <w:rsid w:val="57D12A81"/>
    <w:rsid w:val="57DB56AE"/>
    <w:rsid w:val="57F66044"/>
    <w:rsid w:val="57F86260"/>
    <w:rsid w:val="5803508B"/>
    <w:rsid w:val="580E15DF"/>
    <w:rsid w:val="585B234B"/>
    <w:rsid w:val="58A12453"/>
    <w:rsid w:val="58D42829"/>
    <w:rsid w:val="58F76517"/>
    <w:rsid w:val="59044790"/>
    <w:rsid w:val="59205A6E"/>
    <w:rsid w:val="59213594"/>
    <w:rsid w:val="59592D2E"/>
    <w:rsid w:val="5979517E"/>
    <w:rsid w:val="59A044B9"/>
    <w:rsid w:val="59C52172"/>
    <w:rsid w:val="5A315A59"/>
    <w:rsid w:val="5A6776CD"/>
    <w:rsid w:val="5A9C7376"/>
    <w:rsid w:val="5A9F6E67"/>
    <w:rsid w:val="5AA75D1B"/>
    <w:rsid w:val="5B172EA1"/>
    <w:rsid w:val="5B1A64ED"/>
    <w:rsid w:val="5B2630E4"/>
    <w:rsid w:val="5B2D7FCE"/>
    <w:rsid w:val="5B721E85"/>
    <w:rsid w:val="5B743E4F"/>
    <w:rsid w:val="5B834092"/>
    <w:rsid w:val="5BD7618C"/>
    <w:rsid w:val="5BF64864"/>
    <w:rsid w:val="5C8B76A2"/>
    <w:rsid w:val="5D467A6D"/>
    <w:rsid w:val="5D706898"/>
    <w:rsid w:val="5E2356B9"/>
    <w:rsid w:val="5E5C621C"/>
    <w:rsid w:val="5E9258EE"/>
    <w:rsid w:val="5EA031AD"/>
    <w:rsid w:val="5EBA601D"/>
    <w:rsid w:val="5F16521D"/>
    <w:rsid w:val="602C2F4B"/>
    <w:rsid w:val="603E67DA"/>
    <w:rsid w:val="608E2528"/>
    <w:rsid w:val="60B564F4"/>
    <w:rsid w:val="60C018E5"/>
    <w:rsid w:val="60FE6800"/>
    <w:rsid w:val="612B0135"/>
    <w:rsid w:val="614C3178"/>
    <w:rsid w:val="61720E31"/>
    <w:rsid w:val="61A14100"/>
    <w:rsid w:val="61B054B5"/>
    <w:rsid w:val="61DE64C6"/>
    <w:rsid w:val="61FE26C5"/>
    <w:rsid w:val="620F48D2"/>
    <w:rsid w:val="62570027"/>
    <w:rsid w:val="626C71C0"/>
    <w:rsid w:val="62B81634"/>
    <w:rsid w:val="632443AD"/>
    <w:rsid w:val="634B193A"/>
    <w:rsid w:val="63F0428F"/>
    <w:rsid w:val="640F5CFD"/>
    <w:rsid w:val="64191A38"/>
    <w:rsid w:val="649B41FB"/>
    <w:rsid w:val="64B452BD"/>
    <w:rsid w:val="64C5571C"/>
    <w:rsid w:val="64C71494"/>
    <w:rsid w:val="64E04304"/>
    <w:rsid w:val="65051FBC"/>
    <w:rsid w:val="655A5E64"/>
    <w:rsid w:val="65F57C75"/>
    <w:rsid w:val="662E1292"/>
    <w:rsid w:val="664C7415"/>
    <w:rsid w:val="665B6338"/>
    <w:rsid w:val="666F593F"/>
    <w:rsid w:val="66884C53"/>
    <w:rsid w:val="668F4233"/>
    <w:rsid w:val="66A86458"/>
    <w:rsid w:val="66C832A1"/>
    <w:rsid w:val="66D63C10"/>
    <w:rsid w:val="67654F94"/>
    <w:rsid w:val="67F11953"/>
    <w:rsid w:val="685E3EBD"/>
    <w:rsid w:val="687E455F"/>
    <w:rsid w:val="68DD74D8"/>
    <w:rsid w:val="68EC14C9"/>
    <w:rsid w:val="68FC7232"/>
    <w:rsid w:val="691602F4"/>
    <w:rsid w:val="691C78D4"/>
    <w:rsid w:val="69236EB5"/>
    <w:rsid w:val="694F3806"/>
    <w:rsid w:val="6A2B4273"/>
    <w:rsid w:val="6A425827"/>
    <w:rsid w:val="6A554E4C"/>
    <w:rsid w:val="6A5C6B56"/>
    <w:rsid w:val="6A737E69"/>
    <w:rsid w:val="6A815C41"/>
    <w:rsid w:val="6B6F3CFD"/>
    <w:rsid w:val="6B7357E7"/>
    <w:rsid w:val="6B8C0D41"/>
    <w:rsid w:val="6B8F438D"/>
    <w:rsid w:val="6B9E0A74"/>
    <w:rsid w:val="6BA240C1"/>
    <w:rsid w:val="6BB362CE"/>
    <w:rsid w:val="6BBB33D4"/>
    <w:rsid w:val="6BD821D8"/>
    <w:rsid w:val="6C103720"/>
    <w:rsid w:val="6C353187"/>
    <w:rsid w:val="6CA65E33"/>
    <w:rsid w:val="6CBC7404"/>
    <w:rsid w:val="6CE07597"/>
    <w:rsid w:val="6CE32BE3"/>
    <w:rsid w:val="6D45564C"/>
    <w:rsid w:val="6D5D181B"/>
    <w:rsid w:val="6DE035C6"/>
    <w:rsid w:val="6DEA61F3"/>
    <w:rsid w:val="6E1636BE"/>
    <w:rsid w:val="6E1B63AC"/>
    <w:rsid w:val="6E2A4841"/>
    <w:rsid w:val="6E301E58"/>
    <w:rsid w:val="6E322373"/>
    <w:rsid w:val="6E5813AF"/>
    <w:rsid w:val="6E8126B3"/>
    <w:rsid w:val="6EC627BC"/>
    <w:rsid w:val="6EC81BC5"/>
    <w:rsid w:val="6ED76777"/>
    <w:rsid w:val="6EF641A3"/>
    <w:rsid w:val="6F4722D6"/>
    <w:rsid w:val="6F5778B8"/>
    <w:rsid w:val="6F7264A0"/>
    <w:rsid w:val="6FC54822"/>
    <w:rsid w:val="700E61C9"/>
    <w:rsid w:val="703B2D36"/>
    <w:rsid w:val="704F058F"/>
    <w:rsid w:val="706B3BAB"/>
    <w:rsid w:val="7090390D"/>
    <w:rsid w:val="70B86135"/>
    <w:rsid w:val="70BA3C5B"/>
    <w:rsid w:val="70D867D7"/>
    <w:rsid w:val="71257C6E"/>
    <w:rsid w:val="71347EB1"/>
    <w:rsid w:val="71C10EF2"/>
    <w:rsid w:val="71CD29A4"/>
    <w:rsid w:val="71E63C45"/>
    <w:rsid w:val="720843BA"/>
    <w:rsid w:val="722F68CA"/>
    <w:rsid w:val="726B5B54"/>
    <w:rsid w:val="726F3F98"/>
    <w:rsid w:val="728944B5"/>
    <w:rsid w:val="729055BB"/>
    <w:rsid w:val="72B31E47"/>
    <w:rsid w:val="73AA445A"/>
    <w:rsid w:val="73B928EF"/>
    <w:rsid w:val="73BB0416"/>
    <w:rsid w:val="73C372CA"/>
    <w:rsid w:val="73C44DF0"/>
    <w:rsid w:val="73EE3673"/>
    <w:rsid w:val="74085625"/>
    <w:rsid w:val="740A4EF9"/>
    <w:rsid w:val="742A1C4E"/>
    <w:rsid w:val="743B50B2"/>
    <w:rsid w:val="74561EEC"/>
    <w:rsid w:val="75022074"/>
    <w:rsid w:val="753B35B6"/>
    <w:rsid w:val="75625CA6"/>
    <w:rsid w:val="75660855"/>
    <w:rsid w:val="7593078E"/>
    <w:rsid w:val="75AC0C64"/>
    <w:rsid w:val="75E86B6C"/>
    <w:rsid w:val="766C59F7"/>
    <w:rsid w:val="76796366"/>
    <w:rsid w:val="76B20CD7"/>
    <w:rsid w:val="76C76129"/>
    <w:rsid w:val="76F53C3E"/>
    <w:rsid w:val="773D55E5"/>
    <w:rsid w:val="775070C7"/>
    <w:rsid w:val="778E7BEF"/>
    <w:rsid w:val="779D6084"/>
    <w:rsid w:val="78000AED"/>
    <w:rsid w:val="780305DD"/>
    <w:rsid w:val="78482494"/>
    <w:rsid w:val="78BE62B2"/>
    <w:rsid w:val="78D008F9"/>
    <w:rsid w:val="790A599B"/>
    <w:rsid w:val="79144124"/>
    <w:rsid w:val="795A5FDB"/>
    <w:rsid w:val="797572B9"/>
    <w:rsid w:val="7988653D"/>
    <w:rsid w:val="798B2638"/>
    <w:rsid w:val="79E05927"/>
    <w:rsid w:val="7A17211E"/>
    <w:rsid w:val="7A205D32"/>
    <w:rsid w:val="7ABD513D"/>
    <w:rsid w:val="7ADE49EA"/>
    <w:rsid w:val="7AE04C06"/>
    <w:rsid w:val="7C1026E6"/>
    <w:rsid w:val="7C7E6484"/>
    <w:rsid w:val="7C964488"/>
    <w:rsid w:val="7CA37C99"/>
    <w:rsid w:val="7CFE75C5"/>
    <w:rsid w:val="7D114F08"/>
    <w:rsid w:val="7D1172F8"/>
    <w:rsid w:val="7D250FF6"/>
    <w:rsid w:val="7D407BDD"/>
    <w:rsid w:val="7D5148C1"/>
    <w:rsid w:val="7D5D6E36"/>
    <w:rsid w:val="7D667F1E"/>
    <w:rsid w:val="7D7020D1"/>
    <w:rsid w:val="7DF54524"/>
    <w:rsid w:val="7E2014D4"/>
    <w:rsid w:val="7E28349B"/>
    <w:rsid w:val="7E786BF0"/>
    <w:rsid w:val="7E791949"/>
    <w:rsid w:val="7E8B6C36"/>
    <w:rsid w:val="7E90249F"/>
    <w:rsid w:val="7E926217"/>
    <w:rsid w:val="7E9D3F8D"/>
    <w:rsid w:val="7EA30424"/>
    <w:rsid w:val="7EAF501B"/>
    <w:rsid w:val="7EDE76AE"/>
    <w:rsid w:val="7F182BC0"/>
    <w:rsid w:val="7F1E3F4E"/>
    <w:rsid w:val="7F385010"/>
    <w:rsid w:val="7F414FFD"/>
    <w:rsid w:val="7F604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macro"/>
    <w:link w:val="5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Body Text"/>
    <w:basedOn w:val="1"/>
    <w:link w:val="66"/>
    <w:qFormat/>
    <w:uiPriority w:val="0"/>
    <w:pPr>
      <w:widowControl/>
      <w:overflowPunct w:val="0"/>
      <w:autoSpaceDE w:val="0"/>
      <w:autoSpaceDN w:val="0"/>
      <w:adjustRightInd w:val="0"/>
      <w:spacing w:after="120"/>
    </w:pPr>
    <w:rPr>
      <w:kern w:val="0"/>
      <w:szCs w:val="20"/>
    </w:rPr>
  </w:style>
  <w:style w:type="paragraph" w:styleId="8">
    <w:name w:val="toc 3"/>
    <w:basedOn w:val="1"/>
    <w:next w:val="1"/>
    <w:unhideWhenUsed/>
    <w:qFormat/>
    <w:uiPriority w:val="39"/>
    <w:pPr>
      <w:tabs>
        <w:tab w:val="right" w:leader="dot" w:pos="8931"/>
      </w:tabs>
      <w:spacing w:line="580" w:lineRule="exact"/>
      <w:jc w:val="center"/>
    </w:pPr>
  </w:style>
  <w:style w:type="paragraph" w:styleId="9">
    <w:name w:val="Plain Text"/>
    <w:basedOn w:val="1"/>
    <w:link w:val="54"/>
    <w:unhideWhenUsed/>
    <w:qFormat/>
    <w:uiPriority w:val="0"/>
    <w:rPr>
      <w:rFonts w:ascii="宋体" w:hAnsi="Courier New" w:cs="Courier New" w:eastAsiaTheme="minorEastAsia"/>
      <w:szCs w:val="21"/>
    </w:rPr>
  </w:style>
  <w:style w:type="paragraph" w:styleId="10">
    <w:name w:val="index 3"/>
    <w:basedOn w:val="1"/>
    <w:next w:val="1"/>
    <w:qFormat/>
    <w:uiPriority w:val="0"/>
    <w:pPr>
      <w:widowControl/>
      <w:overflowPunct w:val="0"/>
      <w:autoSpaceDE w:val="0"/>
      <w:autoSpaceDN w:val="0"/>
      <w:adjustRightInd w:val="0"/>
      <w:ind w:left="400" w:leftChars="400"/>
    </w:pPr>
    <w:rPr>
      <w:kern w:val="0"/>
      <w:szCs w:val="20"/>
    </w:rPr>
  </w:style>
  <w:style w:type="paragraph" w:styleId="11">
    <w:name w:val="Body Text Indent 2"/>
    <w:basedOn w:val="1"/>
    <w:link w:val="64"/>
    <w:qFormat/>
    <w:uiPriority w:val="0"/>
    <w:pPr>
      <w:widowControl/>
      <w:overflowPunct w:val="0"/>
      <w:autoSpaceDE w:val="0"/>
      <w:autoSpaceDN w:val="0"/>
      <w:adjustRightInd w:val="0"/>
      <w:spacing w:after="120" w:line="480" w:lineRule="auto"/>
      <w:ind w:left="200" w:leftChars="200"/>
    </w:pPr>
    <w:rPr>
      <w:kern w:val="0"/>
      <w:szCs w:val="20"/>
    </w:rPr>
  </w:style>
  <w:style w:type="paragraph" w:styleId="12">
    <w:name w:val="Balloon Text"/>
    <w:basedOn w:val="1"/>
    <w:link w:val="43"/>
    <w:unhideWhenUsed/>
    <w:qFormat/>
    <w:uiPriority w:val="0"/>
    <w:pPr>
      <w:spacing w:line="590" w:lineRule="exact"/>
      <w:ind w:firstLine="200" w:firstLineChars="200"/>
    </w:pPr>
    <w:rPr>
      <w:rFonts w:ascii="仿宋_GB2312" w:eastAsia="仿宋_GB2312"/>
      <w:spacing w:val="6"/>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931"/>
      </w:tabs>
      <w:spacing w:line="600" w:lineRule="exact"/>
      <w:jc w:val="center"/>
    </w:pPr>
    <w:rPr>
      <w:kern w:val="0"/>
      <w:sz w:val="28"/>
      <w:szCs w:val="28"/>
    </w:rPr>
  </w:style>
  <w:style w:type="paragraph" w:styleId="16">
    <w:name w:val="toc 2"/>
    <w:basedOn w:val="1"/>
    <w:next w:val="1"/>
    <w:unhideWhenUsed/>
    <w:qFormat/>
    <w:uiPriority w:val="39"/>
    <w:pPr>
      <w:tabs>
        <w:tab w:val="right" w:leader="dot" w:pos="8948"/>
      </w:tabs>
      <w:ind w:left="566" w:hanging="566" w:hangingChars="202"/>
    </w:pPr>
  </w:style>
  <w:style w:type="paragraph" w:styleId="17">
    <w:name w:val="Body Text 2"/>
    <w:basedOn w:val="1"/>
    <w:link w:val="47"/>
    <w:qFormat/>
    <w:uiPriority w:val="0"/>
    <w:pPr>
      <w:widowControl/>
      <w:overflowPunct w:val="0"/>
      <w:autoSpaceDE w:val="0"/>
      <w:autoSpaceDN w:val="0"/>
      <w:adjustRightInd w:val="0"/>
      <w:spacing w:after="120" w:line="480" w:lineRule="auto"/>
    </w:pPr>
    <w:rPr>
      <w:kern w:val="0"/>
      <w:szCs w:val="2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20">
    <w:name w:val="Body Text First Indent"/>
    <w:basedOn w:val="7"/>
    <w:link w:val="67"/>
    <w:qFormat/>
    <w:uiPriority w:val="0"/>
    <w:pPr>
      <w:ind w:firstLine="420" w:firstLineChars="1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customStyle="1" w:styleId="27">
    <w:name w:val="页眉 Char"/>
    <w:basedOn w:val="23"/>
    <w:link w:val="14"/>
    <w:qFormat/>
    <w:uiPriority w:val="99"/>
    <w:rPr>
      <w:sz w:val="18"/>
      <w:szCs w:val="18"/>
    </w:rPr>
  </w:style>
  <w:style w:type="character" w:customStyle="1" w:styleId="28">
    <w:name w:val="页脚 Char"/>
    <w:basedOn w:val="23"/>
    <w:link w:val="13"/>
    <w:qFormat/>
    <w:uiPriority w:val="99"/>
    <w:rPr>
      <w:sz w:val="18"/>
      <w:szCs w:val="18"/>
    </w:rPr>
  </w:style>
  <w:style w:type="character" w:customStyle="1" w:styleId="29">
    <w:name w:val="标题 Char"/>
    <w:basedOn w:val="23"/>
    <w:link w:val="19"/>
    <w:qFormat/>
    <w:uiPriority w:val="10"/>
    <w:rPr>
      <w:rFonts w:eastAsia="宋体" w:asciiTheme="majorHAnsi" w:hAnsiTheme="majorHAnsi" w:cstheme="majorBidi"/>
      <w:b/>
      <w:bCs/>
      <w:sz w:val="32"/>
      <w:szCs w:val="32"/>
    </w:rPr>
  </w:style>
  <w:style w:type="character" w:customStyle="1" w:styleId="30">
    <w:name w:val="标题 1 Char"/>
    <w:basedOn w:val="23"/>
    <w:link w:val="4"/>
    <w:qFormat/>
    <w:uiPriority w:val="9"/>
    <w:rPr>
      <w:b/>
      <w:bCs/>
      <w:kern w:val="44"/>
      <w:sz w:val="44"/>
      <w:szCs w:val="44"/>
    </w:rPr>
  </w:style>
  <w:style w:type="paragraph" w:customStyle="1" w:styleId="31">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2">
    <w:name w:val="标题 2 Char"/>
    <w:basedOn w:val="23"/>
    <w:link w:val="5"/>
    <w:qFormat/>
    <w:uiPriority w:val="0"/>
    <w:rPr>
      <w:rFonts w:asciiTheme="majorHAnsi" w:hAnsiTheme="majorHAnsi" w:eastAsiaTheme="majorEastAsia" w:cstheme="majorBidi"/>
      <w:b/>
      <w:bCs/>
      <w:sz w:val="32"/>
      <w:szCs w:val="32"/>
    </w:rPr>
  </w:style>
  <w:style w:type="paragraph" w:customStyle="1" w:styleId="33">
    <w:name w:val="列出段落1"/>
    <w:basedOn w:val="1"/>
    <w:qFormat/>
    <w:uiPriority w:val="34"/>
    <w:pPr>
      <w:ind w:firstLine="420" w:firstLineChars="200"/>
    </w:pPr>
  </w:style>
  <w:style w:type="paragraph" w:customStyle="1" w:styleId="34">
    <w:name w:val="a0"/>
    <w:basedOn w:val="1"/>
    <w:qFormat/>
    <w:uiPriority w:val="0"/>
    <w:pPr>
      <w:spacing w:line="360" w:lineRule="auto"/>
      <w:ind w:firstLine="200" w:firstLineChars="200"/>
      <w:jc w:val="left"/>
    </w:pPr>
    <w:rPr>
      <w:rFonts w:ascii="仿宋_GB2312" w:hAnsi="宋体"/>
      <w:sz w:val="28"/>
      <w:szCs w:val="28"/>
    </w:rPr>
  </w:style>
  <w:style w:type="paragraph" w:customStyle="1" w:styleId="3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标题3 Char"/>
    <w:link w:val="37"/>
    <w:qFormat/>
    <w:uiPriority w:val="0"/>
    <w:rPr>
      <w:rFonts w:ascii="宋体" w:hAnsi="宋体" w:eastAsia="宋体" w:cs="仿宋"/>
      <w:b/>
      <w:spacing w:val="6"/>
      <w:sz w:val="30"/>
      <w:szCs w:val="30"/>
    </w:rPr>
  </w:style>
  <w:style w:type="paragraph" w:customStyle="1" w:styleId="37">
    <w:name w:val="标题3"/>
    <w:basedOn w:val="1"/>
    <w:link w:val="36"/>
    <w:qFormat/>
    <w:uiPriority w:val="0"/>
    <w:pPr>
      <w:autoSpaceDE w:val="0"/>
      <w:autoSpaceDN w:val="0"/>
      <w:adjustRightInd w:val="0"/>
      <w:snapToGrid w:val="0"/>
      <w:spacing w:line="600" w:lineRule="exact"/>
      <w:ind w:firstLine="626" w:firstLineChars="200"/>
      <w:jc w:val="left"/>
    </w:pPr>
    <w:rPr>
      <w:rFonts w:ascii="宋体" w:hAnsi="宋体" w:cs="仿宋"/>
      <w:b/>
      <w:spacing w:val="6"/>
      <w:sz w:val="30"/>
      <w:szCs w:val="30"/>
    </w:rPr>
  </w:style>
  <w:style w:type="character" w:customStyle="1" w:styleId="38">
    <w:name w:val="标题 3 Char"/>
    <w:basedOn w:val="23"/>
    <w:link w:val="6"/>
    <w:qFormat/>
    <w:uiPriority w:val="0"/>
    <w:rPr>
      <w:b/>
      <w:bCs/>
      <w:sz w:val="32"/>
      <w:szCs w:val="32"/>
    </w:rPr>
  </w:style>
  <w:style w:type="paragraph" w:customStyle="1" w:styleId="39">
    <w:name w:val="正文2"/>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40">
    <w:name w:val="正文1"/>
    <w:basedOn w:val="1"/>
    <w:link w:val="41"/>
    <w:qFormat/>
    <w:uiPriority w:val="0"/>
    <w:pPr>
      <w:autoSpaceDE w:val="0"/>
      <w:autoSpaceDN w:val="0"/>
      <w:adjustRightInd w:val="0"/>
      <w:snapToGrid w:val="0"/>
      <w:spacing w:line="600" w:lineRule="exact"/>
      <w:ind w:firstLine="624" w:firstLineChars="200"/>
    </w:pPr>
    <w:rPr>
      <w:rFonts w:ascii="宋体" w:hAnsi="宋体" w:eastAsia="仿宋_GB2312"/>
      <w:spacing w:val="6"/>
      <w:sz w:val="30"/>
    </w:rPr>
  </w:style>
  <w:style w:type="character" w:customStyle="1" w:styleId="41">
    <w:name w:val="正文1 Char"/>
    <w:link w:val="40"/>
    <w:qFormat/>
    <w:uiPriority w:val="0"/>
    <w:rPr>
      <w:rFonts w:ascii="宋体" w:hAnsi="宋体" w:eastAsia="仿宋_GB2312" w:cs="Times New Roman"/>
      <w:spacing w:val="6"/>
      <w:sz w:val="30"/>
      <w:szCs w:val="24"/>
    </w:rPr>
  </w:style>
  <w:style w:type="paragraph" w:customStyle="1" w:styleId="42">
    <w:name w:val="Char"/>
    <w:basedOn w:val="1"/>
    <w:qFormat/>
    <w:uiPriority w:val="0"/>
    <w:pPr>
      <w:widowControl/>
      <w:jc w:val="left"/>
    </w:pPr>
    <w:rPr>
      <w:rFonts w:ascii="宋体" w:hAnsi="宋体" w:cs="宋体"/>
      <w:kern w:val="0"/>
      <w:sz w:val="24"/>
    </w:rPr>
  </w:style>
  <w:style w:type="character" w:customStyle="1" w:styleId="43">
    <w:name w:val="批注框文本 Char"/>
    <w:basedOn w:val="23"/>
    <w:link w:val="12"/>
    <w:qFormat/>
    <w:uiPriority w:val="0"/>
    <w:rPr>
      <w:rFonts w:ascii="仿宋_GB2312" w:eastAsia="仿宋_GB2312"/>
      <w:spacing w:val="6"/>
      <w:sz w:val="18"/>
      <w:szCs w:val="18"/>
    </w:rPr>
  </w:style>
  <w:style w:type="paragraph" w:customStyle="1" w:styleId="4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45">
    <w:name w:val="_Style 2"/>
    <w:basedOn w:val="1"/>
    <w:qFormat/>
    <w:uiPriority w:val="0"/>
    <w:pPr>
      <w:widowControl/>
      <w:jc w:val="left"/>
    </w:pPr>
    <w:rPr>
      <w:rFonts w:ascii="宋体" w:hAnsi="宋体" w:cs="宋体"/>
      <w:kern w:val="0"/>
      <w:sz w:val="24"/>
    </w:rPr>
  </w:style>
  <w:style w:type="character" w:customStyle="1" w:styleId="46">
    <w:name w:val="公文正文"/>
    <w:basedOn w:val="23"/>
    <w:qFormat/>
    <w:uiPriority w:val="0"/>
    <w:rPr>
      <w:rFonts w:hint="eastAsia" w:ascii="仿宋_GB2312" w:eastAsia="仿宋_GB2312"/>
      <w:sz w:val="32"/>
    </w:rPr>
  </w:style>
  <w:style w:type="character" w:customStyle="1" w:styleId="47">
    <w:name w:val="正文文本 2 Char"/>
    <w:basedOn w:val="23"/>
    <w:link w:val="17"/>
    <w:qFormat/>
    <w:uiPriority w:val="0"/>
    <w:rPr>
      <w:rFonts w:ascii="Times New Roman" w:hAnsi="Times New Roman" w:eastAsia="宋体" w:cs="Times New Roman"/>
      <w:kern w:val="0"/>
      <w:szCs w:val="20"/>
    </w:rPr>
  </w:style>
  <w:style w:type="paragraph" w:customStyle="1" w:styleId="48">
    <w:name w:val="列出段落11"/>
    <w:basedOn w:val="1"/>
    <w:qFormat/>
    <w:uiPriority w:val="0"/>
    <w:pPr>
      <w:ind w:firstLine="420" w:firstLineChars="200"/>
    </w:pPr>
    <w:rPr>
      <w:rFonts w:ascii="Calibri" w:hAnsi="Calibri"/>
    </w:rPr>
  </w:style>
  <w:style w:type="paragraph" w:customStyle="1" w:styleId="4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0">
    <w:name w:val="Char1"/>
    <w:basedOn w:val="1"/>
    <w:qFormat/>
    <w:uiPriority w:val="0"/>
    <w:rPr>
      <w:rFonts w:ascii="宋体" w:hAnsi="宋体" w:cs="Courier New"/>
      <w:sz w:val="32"/>
      <w:szCs w:val="32"/>
    </w:rPr>
  </w:style>
  <w:style w:type="character" w:customStyle="1" w:styleId="51">
    <w:name w:val="书籍标题1"/>
    <w:basedOn w:val="23"/>
    <w:qFormat/>
    <w:uiPriority w:val="0"/>
    <w:rPr>
      <w:rFonts w:cs="Times New Roman"/>
      <w:b/>
      <w:bCs/>
      <w:smallCaps/>
      <w:spacing w:val="5"/>
    </w:rPr>
  </w:style>
  <w:style w:type="character" w:customStyle="1" w:styleId="52">
    <w:name w:val="纯文本 Char"/>
    <w:basedOn w:val="23"/>
    <w:qFormat/>
    <w:uiPriority w:val="0"/>
    <w:rPr>
      <w:rFonts w:ascii="宋体" w:hAnsi="Courier New" w:cs="Courier New"/>
      <w:szCs w:val="21"/>
    </w:rPr>
  </w:style>
  <w:style w:type="character" w:customStyle="1" w:styleId="53">
    <w:name w:val="标题 2 Char1"/>
    <w:basedOn w:val="23"/>
    <w:semiHidden/>
    <w:qFormat/>
    <w:uiPriority w:val="0"/>
    <w:rPr>
      <w:rFonts w:ascii="Cambria" w:hAnsi="Cambria" w:eastAsia="宋体" w:cs="Times New Roman"/>
      <w:b/>
      <w:bCs/>
      <w:kern w:val="2"/>
      <w:sz w:val="32"/>
      <w:szCs w:val="32"/>
    </w:rPr>
  </w:style>
  <w:style w:type="character" w:customStyle="1" w:styleId="54">
    <w:name w:val="纯文本 Char1"/>
    <w:basedOn w:val="23"/>
    <w:link w:val="9"/>
    <w:semiHidden/>
    <w:qFormat/>
    <w:uiPriority w:val="99"/>
    <w:rPr>
      <w:rFonts w:ascii="宋体" w:hAnsi="Courier New" w:eastAsia="宋体" w:cs="Courier New"/>
      <w:szCs w:val="21"/>
    </w:rPr>
  </w:style>
  <w:style w:type="paragraph" w:customStyle="1" w:styleId="55">
    <w:name w:val="Char Char Char Char Char Char Char Char Char Char Char Char"/>
    <w:basedOn w:val="1"/>
    <w:next w:val="15"/>
    <w:semiHidden/>
    <w:qFormat/>
    <w:uiPriority w:val="0"/>
    <w:rPr>
      <w:sz w:val="28"/>
      <w:szCs w:val="28"/>
    </w:rPr>
  </w:style>
  <w:style w:type="character" w:customStyle="1" w:styleId="56">
    <w:name w:val="宏文本 Char"/>
    <w:basedOn w:val="23"/>
    <w:link w:val="3"/>
    <w:qFormat/>
    <w:uiPriority w:val="0"/>
    <w:rPr>
      <w:rFonts w:ascii="Courier New" w:hAnsi="Courier New" w:eastAsia="宋体" w:cs="Courier New"/>
      <w:sz w:val="24"/>
      <w:szCs w:val="24"/>
    </w:rPr>
  </w:style>
  <w:style w:type="character" w:customStyle="1" w:styleId="57">
    <w:name w:val="公文校对"/>
    <w:basedOn w:val="23"/>
    <w:qFormat/>
    <w:uiPriority w:val="0"/>
    <w:rPr>
      <w:rFonts w:eastAsia="仿宋_GB2312"/>
      <w:sz w:val="28"/>
    </w:rPr>
  </w:style>
  <w:style w:type="character" w:customStyle="1" w:styleId="58">
    <w:name w:val="apple-converted-space"/>
    <w:qFormat/>
    <w:uiPriority w:val="0"/>
    <w:rPr>
      <w:rFonts w:cs="Times New Roman"/>
    </w:rPr>
  </w:style>
  <w:style w:type="paragraph" w:customStyle="1" w:styleId="59">
    <w:name w:val="页脚1"/>
    <w:basedOn w:val="1"/>
    <w:qFormat/>
    <w:uiPriority w:val="0"/>
    <w:pPr>
      <w:tabs>
        <w:tab w:val="center" w:pos="4153"/>
        <w:tab w:val="right" w:pos="8306"/>
      </w:tabs>
      <w:snapToGrid w:val="0"/>
      <w:jc w:val="left"/>
    </w:pPr>
    <w:rPr>
      <w:sz w:val="18"/>
      <w:szCs w:val="18"/>
    </w:rPr>
  </w:style>
  <w:style w:type="paragraph" w:customStyle="1" w:styleId="6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p31"/>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Char Char Char Char"/>
    <w:basedOn w:val="1"/>
    <w:qFormat/>
    <w:uiPriority w:val="0"/>
    <w:rPr>
      <w:rFonts w:ascii="Tahoma" w:hAnsi="Tahoma"/>
      <w:sz w:val="24"/>
      <w:szCs w:val="20"/>
    </w:rPr>
  </w:style>
  <w:style w:type="paragraph" w:customStyle="1" w:styleId="63">
    <w:name w:val="Char2"/>
    <w:basedOn w:val="1"/>
    <w:qFormat/>
    <w:uiPriority w:val="0"/>
    <w:rPr>
      <w:szCs w:val="20"/>
    </w:rPr>
  </w:style>
  <w:style w:type="character" w:customStyle="1" w:styleId="64">
    <w:name w:val="正文文本缩进 2 Char"/>
    <w:basedOn w:val="23"/>
    <w:link w:val="11"/>
    <w:qFormat/>
    <w:uiPriority w:val="0"/>
    <w:rPr>
      <w:rFonts w:ascii="Times New Roman" w:hAnsi="Times New Roman" w:eastAsia="宋体" w:cs="Times New Roman"/>
      <w:kern w:val="0"/>
      <w:szCs w:val="20"/>
    </w:rPr>
  </w:style>
  <w:style w:type="paragraph" w:customStyle="1" w:styleId="65">
    <w:name w:val="正文3"/>
    <w:qFormat/>
    <w:uiPriority w:val="0"/>
    <w:pPr>
      <w:widowControl w:val="0"/>
      <w:jc w:val="both"/>
    </w:pPr>
    <w:rPr>
      <w:rFonts w:hint="eastAsia" w:ascii="Times New Roman" w:hAnsi="Times New Roman" w:eastAsia="仿宋_GB2312" w:cs="Times New Roman"/>
      <w:kern w:val="2"/>
      <w:sz w:val="32"/>
      <w:lang w:val="en-US" w:eastAsia="zh-CN" w:bidi="ar-SA"/>
    </w:rPr>
  </w:style>
  <w:style w:type="character" w:customStyle="1" w:styleId="66">
    <w:name w:val="正文文本 Char"/>
    <w:basedOn w:val="23"/>
    <w:link w:val="7"/>
    <w:qFormat/>
    <w:uiPriority w:val="0"/>
    <w:rPr>
      <w:rFonts w:ascii="Times New Roman" w:hAnsi="Times New Roman" w:eastAsia="宋体" w:cs="Times New Roman"/>
      <w:kern w:val="0"/>
      <w:szCs w:val="20"/>
    </w:rPr>
  </w:style>
  <w:style w:type="character" w:customStyle="1" w:styleId="67">
    <w:name w:val="正文首行缩进 Char"/>
    <w:basedOn w:val="66"/>
    <w:link w:val="20"/>
    <w:qFormat/>
    <w:uiPriority w:val="0"/>
    <w:rPr>
      <w:rFonts w:ascii="Times New Roman" w:hAnsi="Times New Roman" w:eastAsia="宋体" w:cs="Times New Roman"/>
      <w:kern w:val="0"/>
      <w:szCs w:val="20"/>
    </w:rPr>
  </w:style>
  <w:style w:type="paragraph" w:customStyle="1" w:styleId="68">
    <w:name w:val="样式 小四 首行缩进:  0.85 厘米"/>
    <w:basedOn w:val="1"/>
    <w:qFormat/>
    <w:uiPriority w:val="0"/>
    <w:pPr>
      <w:spacing w:line="360" w:lineRule="auto"/>
      <w:ind w:firstLine="480"/>
    </w:pPr>
    <w:rPr>
      <w:rFonts w:cs="宋体"/>
      <w:sz w:val="24"/>
      <w:szCs w:val="20"/>
    </w:rPr>
  </w:style>
  <w:style w:type="paragraph" w:customStyle="1" w:styleId="69">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0">
    <w:name w:val="p0"/>
    <w:basedOn w:val="1"/>
    <w:qFormat/>
    <w:uiPriority w:val="99"/>
    <w:pPr>
      <w:widowControl/>
    </w:pPr>
    <w:rPr>
      <w:kern w:val="0"/>
      <w:szCs w:val="21"/>
    </w:rPr>
  </w:style>
  <w:style w:type="paragraph" w:customStyle="1" w:styleId="71">
    <w:name w:val="列出段落2"/>
    <w:basedOn w:val="1"/>
    <w:qFormat/>
    <w:uiPriority w:val="99"/>
    <w:pPr>
      <w:ind w:firstLine="420" w:firstLineChars="200"/>
    </w:pPr>
  </w:style>
  <w:style w:type="paragraph" w:styleId="72">
    <w:name w:val="List Paragraph"/>
    <w:basedOn w:val="1"/>
    <w:unhideWhenUsed/>
    <w:qFormat/>
    <w:uiPriority w:val="99"/>
    <w:pPr>
      <w:ind w:firstLine="420" w:firstLineChars="200"/>
    </w:pPr>
  </w:style>
  <w:style w:type="character" w:customStyle="1" w:styleId="73">
    <w:name w:val="font61"/>
    <w:basedOn w:val="23"/>
    <w:qFormat/>
    <w:uiPriority w:val="0"/>
    <w:rPr>
      <w:rFonts w:hint="eastAsia" w:ascii="宋体" w:hAnsi="宋体" w:eastAsia="宋体" w:cs="宋体"/>
      <w:color w:val="FF0000"/>
      <w:sz w:val="20"/>
      <w:szCs w:val="20"/>
      <w:u w:val="none"/>
    </w:rPr>
  </w:style>
  <w:style w:type="character" w:customStyle="1" w:styleId="74">
    <w:name w:val="font91"/>
    <w:basedOn w:val="2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E4FBA-21D0-4796-A723-849E0BFF469C}">
  <ds:schemaRefs/>
</ds:datastoreItem>
</file>

<file path=docProps/app.xml><?xml version="1.0" encoding="utf-8"?>
<Properties xmlns="http://schemas.openxmlformats.org/officeDocument/2006/extended-properties" xmlns:vt="http://schemas.openxmlformats.org/officeDocument/2006/docPropsVTypes">
  <Template>Normal</Template>
  <Company>kmqxkjs</Company>
  <Pages>18</Pages>
  <Words>6508</Words>
  <Characters>6814</Characters>
  <Lines>68</Lines>
  <Paragraphs>19</Paragraphs>
  <TotalTime>6</TotalTime>
  <ScaleCrop>false</ScaleCrop>
  <LinksUpToDate>false</LinksUpToDate>
  <CharactersWithSpaces>6877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2017-09-21T09:58:00Z</dcterms:created>
  <dc:creator>xiong xu</dc:creator>
  <cp:lastModifiedBy>Administrator</cp:lastModifiedBy>
  <cp:lastPrinted>2015-11-12T04:27:00Z</cp:lastPrinted>
  <dcterms:modified xsi:type="dcterms:W3CDTF">2022-12-12T02:38:26Z</dcterms:modified>
  <cp:revision>829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3CC48DC6606743C383DBB3D8B97C46E1</vt:lpwstr>
  </property>
</Properties>
</file>