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ascii="Segoe UI" w:hAnsi="Segoe UI" w:eastAsia="Segoe UI" w:cs="Segoe UI"/>
          <w:i w:val="0"/>
          <w:caps w:val="0"/>
          <w:color w:val="212529"/>
          <w:spacing w:val="0"/>
          <w:sz w:val="24"/>
          <w:szCs w:val="24"/>
        </w:rPr>
      </w:pPr>
      <w:r>
        <w:rPr>
          <w:rFonts w:ascii="方正小标宋简体" w:hAnsi="方正小标宋简体" w:eastAsia="方正小标宋简体" w:cs="方正小标宋简体"/>
          <w:i w:val="0"/>
          <w:caps w:val="0"/>
          <w:color w:val="212529"/>
          <w:spacing w:val="0"/>
          <w:kern w:val="0"/>
          <w:sz w:val="36"/>
          <w:szCs w:val="36"/>
          <w:bdr w:val="none" w:color="auto" w:sz="0" w:space="0"/>
          <w:shd w:val="clear" w:fill="FFFFFF"/>
          <w:lang w:val="en-US" w:eastAsia="zh-CN" w:bidi="ar"/>
        </w:rPr>
        <w:t>财政部</w:t>
      </w:r>
      <w:r>
        <w:rPr>
          <w:rFonts w:hint="eastAsia" w:ascii="方正小标宋简体" w:hAnsi="方正小标宋简体" w:eastAsia="方正小标宋简体" w:cs="方正小标宋简体"/>
          <w:i w:val="0"/>
          <w:caps w:val="0"/>
          <w:color w:val="212529"/>
          <w:spacing w:val="0"/>
          <w:kern w:val="0"/>
          <w:sz w:val="36"/>
          <w:szCs w:val="36"/>
          <w:bdr w:val="none" w:color="auto" w:sz="0" w:space="0"/>
          <w:shd w:val="clear" w:fill="FFFFFF"/>
          <w:lang w:val="en-US" w:eastAsia="zh-CN" w:bidi="ar"/>
        </w:rPr>
        <w:t> 税务总局关于支持居民换购住房有关个人所得税政策的公告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xml:space="preserve">         财政部 税务总局公告 2022年第30号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为支持居民改善住房条件，现就有关个人所得税政策公告如下：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一、自2022年10月1日至2023年12月31日，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二、本公告所称现住房转让金额为该房屋转让的市场成交价格。新购住房为新房的，购房金额为纳税人在住房城乡建设部门网签备案的购房合同中注明的成交价格；新购住房为二手房的，购房金额为房屋的成交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三、享受本公告规定优惠政策的纳税人须同时满足以下条件：</w:t>
      </w:r>
      <w:bookmarkStart w:id="0" w:name="_GoBack"/>
      <w:bookmarkEnd w:id="0"/>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1.纳税人出售和重新购买的住房应在同一城市范围内。同一城市范围是指同一直辖市、副省级城市、地级市（地区、州、盟）所辖全部行政区划范围。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2.出售自有住房的纳税人与新购住房之间须直接相关，应为新购住房产权人或产权人之一。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四、符合退税优惠政策条件的纳税人应向主管税务机关提供合法、有效的售房、购房合同和主管税务机关要求提供的其他有关材料，经主管税务机关审核后办理退税。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五、各级住房城乡建设部门应与税务部门建立信息共享机制，将本地区房屋交易合同网签备案等信息（含撤销备案信息）实时共享至当地税务部门；暂未实现信息实时共享的地区，要建立健全工作机制，确保税务部门及时获取审核退税所需的房屋交易合同备案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六、本公告执行期限为2022年10月1日至2023年12月31日。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2022年9月30日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9458F"/>
    <w:rsid w:val="5EC9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2023-01-03T07:39:00Z</dcterms:created>
  <dc:creator>lenovo</dc:creator>
  <cp:lastModifiedBy>lenovo</cp:lastModifiedBy>
  <dcterms:modified xsi:type="dcterms:W3CDTF">2023-01-03T07:40:52Z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