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hSpace="180" w:wrap="around" w:vAnchor="text" w:hAnchor="margin" w:xAlign="center" w:y="165"/>
        <w:widowControl/>
        <w:overflowPunct w:val="0"/>
        <w:autoSpaceDE w:val="0"/>
        <w:autoSpaceDN w:val="0"/>
        <w:spacing w:line="700" w:lineRule="exact"/>
        <w:rPr>
          <w:rFonts w:ascii="仿宋" w:hAnsi="仿宋" w:eastAsia="仿宋"/>
          <w:b/>
          <w:sz w:val="36"/>
          <w:szCs w:val="36"/>
          <w:highlight w:val="none"/>
        </w:rPr>
      </w:pPr>
      <w:bookmarkStart w:id="28" w:name="_GoBack"/>
      <w:bookmarkEnd w:id="28"/>
    </w:p>
    <w:p>
      <w:pPr>
        <w:framePr w:hSpace="180" w:wrap="around" w:vAnchor="text" w:hAnchor="margin" w:xAlign="center" w:y="165"/>
        <w:spacing w:line="700" w:lineRule="exact"/>
        <w:jc w:val="center"/>
        <w:rPr>
          <w:rFonts w:ascii="宋体" w:hAnsi="宋体" w:cs="仿宋_GB2312"/>
          <w:b/>
          <w:spacing w:val="40"/>
          <w:sz w:val="44"/>
          <w:szCs w:val="44"/>
          <w:highlight w:val="none"/>
        </w:rPr>
      </w:pPr>
      <w:r>
        <w:rPr>
          <w:rFonts w:hint="eastAsia" w:ascii="方正小标宋_GBK" w:hAnsi="方正小标宋_GBK" w:eastAsia="方正小标宋_GBK" w:cs="方正小标宋_GBK"/>
          <w:bCs/>
          <w:sz w:val="44"/>
          <w:szCs w:val="44"/>
          <w:highlight w:val="none"/>
        </w:rPr>
        <w:t>勐海县县本级财政项目绩效评价报告</w:t>
      </w:r>
    </w:p>
    <w:p>
      <w:pPr>
        <w:framePr w:hSpace="180" w:wrap="around" w:vAnchor="text" w:hAnchor="margin" w:xAlign="center" w:y="165"/>
        <w:spacing w:line="700" w:lineRule="exact"/>
        <w:jc w:val="center"/>
        <w:rPr>
          <w:rFonts w:ascii="宋体" w:hAnsi="宋体" w:cs="仿宋_GB2312"/>
          <w:b/>
          <w:spacing w:val="40"/>
          <w:sz w:val="44"/>
          <w:szCs w:val="44"/>
          <w:highlight w:val="none"/>
        </w:rPr>
      </w:pPr>
    </w:p>
    <w:p>
      <w:pPr>
        <w:framePr w:hSpace="180" w:wrap="around" w:vAnchor="text" w:hAnchor="margin" w:xAlign="center" w:y="165"/>
        <w:spacing w:line="700" w:lineRule="exact"/>
        <w:jc w:val="center"/>
        <w:rPr>
          <w:rFonts w:eastAsia="方正仿宋_GBK"/>
          <w:color w:val="000000"/>
          <w:kern w:val="0"/>
          <w:sz w:val="30"/>
          <w:szCs w:val="30"/>
          <w:highlight w:val="none"/>
        </w:rPr>
      </w:pPr>
      <w:r>
        <w:rPr>
          <w:rFonts w:eastAsia="方正仿宋_GBK"/>
          <w:color w:val="000000"/>
          <w:kern w:val="0"/>
          <w:sz w:val="30"/>
          <w:szCs w:val="30"/>
          <w:highlight w:val="none"/>
        </w:rPr>
        <w:t>云信立审字</w:t>
      </w:r>
      <w:r>
        <w:rPr>
          <w:rFonts w:hint="eastAsia" w:eastAsia="方正仿宋_GBK"/>
          <w:color w:val="000000"/>
          <w:kern w:val="0"/>
          <w:sz w:val="30"/>
          <w:szCs w:val="30"/>
          <w:highlight w:val="none"/>
        </w:rPr>
        <w:t>[2022]第</w:t>
      </w:r>
      <w:r>
        <w:rPr>
          <w:rFonts w:hint="eastAsia" w:eastAsia="方正仿宋_GBK"/>
          <w:color w:val="000000"/>
          <w:kern w:val="0"/>
          <w:sz w:val="30"/>
          <w:szCs w:val="30"/>
          <w:highlight w:val="none"/>
          <w:lang w:val="en-US" w:eastAsia="zh-CN"/>
        </w:rPr>
        <w:t>265</w:t>
      </w:r>
      <w:r>
        <w:rPr>
          <w:rFonts w:hint="eastAsia" w:eastAsia="方正仿宋_GBK"/>
          <w:color w:val="000000"/>
          <w:kern w:val="0"/>
          <w:sz w:val="30"/>
          <w:szCs w:val="30"/>
          <w:highlight w:val="none"/>
        </w:rPr>
        <w:t>号</w:t>
      </w:r>
    </w:p>
    <w:p>
      <w:pPr>
        <w:framePr w:hSpace="180" w:wrap="around" w:vAnchor="text" w:hAnchor="margin" w:xAlign="center" w:y="165"/>
        <w:spacing w:line="700" w:lineRule="exact"/>
        <w:jc w:val="center"/>
        <w:rPr>
          <w:rFonts w:ascii="宋体" w:hAnsi="宋体" w:cs="仿宋_GB2312"/>
          <w:b/>
          <w:spacing w:val="40"/>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仿宋" w:hAnsi="仿宋" w:eastAsia="仿宋"/>
          <w:b/>
          <w:sz w:val="30"/>
          <w:szCs w:val="32"/>
          <w:highlight w:val="none"/>
        </w:rPr>
      </w:pPr>
    </w:p>
    <w:p>
      <w:pPr>
        <w:framePr w:hSpace="180" w:wrap="around" w:vAnchor="text" w:hAnchor="margin" w:xAlign="center" w:y="165"/>
        <w:spacing w:line="800" w:lineRule="exact"/>
        <w:ind w:left="798" w:leftChars="304" w:hanging="160" w:hangingChars="50"/>
        <w:rPr>
          <w:rFonts w:eastAsia="方正仿宋_GBK"/>
          <w:bCs/>
          <w:color w:val="auto"/>
          <w:spacing w:val="-20"/>
          <w:kern w:val="0"/>
          <w:sz w:val="32"/>
          <w:szCs w:val="32"/>
          <w:highlight w:val="none"/>
        </w:rPr>
      </w:pPr>
      <w:r>
        <w:rPr>
          <w:rFonts w:hint="eastAsia" w:ascii="仿宋_GB2312" w:eastAsia="仿宋_GB2312"/>
          <w:color w:val="000000"/>
          <w:kern w:val="0"/>
          <w:sz w:val="32"/>
          <w:szCs w:val="32"/>
          <w:highlight w:val="none"/>
        </w:rPr>
        <w:t xml:space="preserve"> </w:t>
      </w:r>
      <w:r>
        <w:rPr>
          <w:rFonts w:eastAsia="方正仿宋_GBK"/>
          <w:color w:val="000000"/>
          <w:kern w:val="0"/>
          <w:sz w:val="32"/>
          <w:szCs w:val="32"/>
          <w:highlight w:val="none"/>
        </w:rPr>
        <w:t>项目名称：</w:t>
      </w:r>
      <w:r>
        <w:rPr>
          <w:rFonts w:hint="eastAsia" w:eastAsia="方正仿宋_GBK"/>
          <w:color w:val="auto"/>
          <w:kern w:val="0"/>
          <w:sz w:val="32"/>
          <w:szCs w:val="32"/>
          <w:highlight w:val="none"/>
          <w:lang w:val="en-US" w:eastAsia="zh-CN"/>
        </w:rPr>
        <w:t>2019年-2021年打洛镇曼夕村等7个村寨</w:t>
      </w:r>
      <w:r>
        <w:rPr>
          <w:rFonts w:hint="eastAsia" w:eastAsia="方正仿宋_GBK"/>
          <w:bCs/>
          <w:color w:val="auto"/>
          <w:spacing w:val="-20"/>
          <w:sz w:val="32"/>
          <w:szCs w:val="32"/>
          <w:highlight w:val="none"/>
        </w:rPr>
        <w:t>边疆党建长廊“四位一体”建设试点项目</w:t>
      </w:r>
    </w:p>
    <w:p>
      <w:pPr>
        <w:framePr w:hSpace="180" w:wrap="around" w:vAnchor="text" w:hAnchor="margin" w:xAlign="center" w:y="165"/>
        <w:spacing w:line="800" w:lineRule="atLeast"/>
        <w:rPr>
          <w:rFonts w:eastAsia="方正仿宋_GBK"/>
          <w:bCs/>
          <w:sz w:val="32"/>
          <w:szCs w:val="32"/>
          <w:highlight w:val="none"/>
        </w:rPr>
      </w:pPr>
      <w:r>
        <w:rPr>
          <w:rFonts w:eastAsia="方正仿宋_GBK"/>
          <w:bCs/>
          <w:sz w:val="32"/>
          <w:szCs w:val="32"/>
          <w:highlight w:val="none"/>
        </w:rPr>
        <w:t xml:space="preserve">     项目单位：</w:t>
      </w:r>
      <w:r>
        <w:rPr>
          <w:rFonts w:hint="eastAsia" w:eastAsia="方正仿宋_GBK"/>
          <w:bCs/>
          <w:sz w:val="32"/>
          <w:szCs w:val="32"/>
          <w:highlight w:val="none"/>
        </w:rPr>
        <w:t>中国共产党勐海县委员会组织部</w:t>
      </w:r>
    </w:p>
    <w:p>
      <w:pPr>
        <w:framePr w:hSpace="180" w:wrap="around" w:vAnchor="text" w:hAnchor="margin" w:xAlign="center" w:y="165"/>
        <w:spacing w:line="800" w:lineRule="atLeast"/>
        <w:rPr>
          <w:rFonts w:eastAsia="方正仿宋_GBK"/>
          <w:bCs/>
          <w:sz w:val="32"/>
          <w:szCs w:val="32"/>
          <w:highlight w:val="none"/>
        </w:rPr>
      </w:pPr>
      <w:r>
        <w:rPr>
          <w:rFonts w:eastAsia="方正仿宋_GBK"/>
          <w:bCs/>
          <w:sz w:val="32"/>
          <w:szCs w:val="32"/>
          <w:highlight w:val="none"/>
        </w:rPr>
        <w:t xml:space="preserve">     主管部门：</w:t>
      </w:r>
      <w:r>
        <w:rPr>
          <w:rFonts w:hint="eastAsia" w:eastAsia="方正仿宋_GBK"/>
          <w:bCs/>
          <w:sz w:val="32"/>
          <w:szCs w:val="32"/>
          <w:highlight w:val="none"/>
        </w:rPr>
        <w:t>中国共产党勐海县委员会组织部</w:t>
      </w:r>
    </w:p>
    <w:p>
      <w:pPr>
        <w:framePr w:hSpace="180" w:wrap="around" w:vAnchor="text" w:hAnchor="margin" w:xAlign="center" w:y="165"/>
        <w:spacing w:line="800" w:lineRule="atLeast"/>
        <w:rPr>
          <w:rFonts w:eastAsia="方正仿宋_GBK"/>
          <w:color w:val="000000"/>
          <w:kern w:val="0"/>
          <w:sz w:val="32"/>
          <w:szCs w:val="32"/>
          <w:highlight w:val="none"/>
        </w:rPr>
      </w:pPr>
      <w:r>
        <w:rPr>
          <w:rFonts w:eastAsia="方正仿宋_GBK"/>
          <w:bCs/>
          <w:sz w:val="32"/>
          <w:szCs w:val="32"/>
          <w:highlight w:val="none"/>
        </w:rPr>
        <w:t xml:space="preserve">     评价机构：</w:t>
      </w:r>
      <w:r>
        <w:rPr>
          <w:rFonts w:hint="eastAsia" w:eastAsia="方正仿宋_GBK"/>
          <w:bCs/>
          <w:sz w:val="32"/>
          <w:szCs w:val="32"/>
          <w:highlight w:val="none"/>
        </w:rPr>
        <w:t>云南信立</w:t>
      </w:r>
      <w:r>
        <w:rPr>
          <w:rFonts w:eastAsia="方正仿宋_GBK"/>
          <w:bCs/>
          <w:sz w:val="32"/>
          <w:szCs w:val="32"/>
          <w:highlight w:val="none"/>
        </w:rPr>
        <w:t>会计师事务所有限公司</w:t>
      </w:r>
    </w:p>
    <w:p>
      <w:pPr>
        <w:framePr w:hSpace="180" w:wrap="around" w:vAnchor="text" w:hAnchor="margin" w:xAlign="center" w:y="165"/>
        <w:spacing w:line="800" w:lineRule="exact"/>
        <w:jc w:val="center"/>
        <w:rPr>
          <w:rFonts w:eastAsia="方正仿宋_GBK"/>
          <w:color w:val="000000"/>
          <w:kern w:val="0"/>
          <w:sz w:val="32"/>
          <w:szCs w:val="32"/>
          <w:highlight w:val="none"/>
        </w:rPr>
      </w:pPr>
    </w:p>
    <w:p>
      <w:pPr>
        <w:framePr w:hSpace="180" w:wrap="around" w:vAnchor="text" w:hAnchor="margin" w:xAlign="center" w:y="165"/>
        <w:spacing w:line="800" w:lineRule="exact"/>
        <w:jc w:val="center"/>
        <w:rPr>
          <w:rFonts w:eastAsia="方正仿宋_GBK"/>
          <w:color w:val="000000"/>
          <w:kern w:val="0"/>
          <w:sz w:val="32"/>
          <w:szCs w:val="32"/>
          <w:highlight w:val="none"/>
        </w:rPr>
      </w:pPr>
    </w:p>
    <w:p>
      <w:pPr>
        <w:framePr w:hSpace="180" w:wrap="around" w:vAnchor="text" w:hAnchor="margin" w:xAlign="center" w:y="165"/>
        <w:jc w:val="center"/>
        <w:rPr>
          <w:rFonts w:eastAsia="方正仿宋_GBK"/>
          <w:color w:val="000000"/>
          <w:kern w:val="0"/>
          <w:sz w:val="32"/>
          <w:szCs w:val="32"/>
          <w:highlight w:val="none"/>
        </w:rPr>
      </w:pPr>
      <w:r>
        <w:rPr>
          <w:rFonts w:eastAsia="方正仿宋_GBK"/>
          <w:kern w:val="0"/>
          <w:sz w:val="32"/>
          <w:szCs w:val="32"/>
          <w:highlight w:val="none"/>
        </w:rPr>
        <w:t>报告日期：</w:t>
      </w:r>
      <w:r>
        <w:rPr>
          <w:rFonts w:eastAsia="方正仿宋_GBK"/>
          <w:color w:val="000000"/>
          <w:kern w:val="0"/>
          <w:sz w:val="32"/>
          <w:szCs w:val="32"/>
          <w:highlight w:val="none"/>
        </w:rPr>
        <w:t>20</w:t>
      </w:r>
      <w:r>
        <w:rPr>
          <w:rFonts w:hint="eastAsia" w:eastAsia="方正仿宋_GBK"/>
          <w:color w:val="000000"/>
          <w:kern w:val="0"/>
          <w:sz w:val="32"/>
          <w:szCs w:val="32"/>
          <w:highlight w:val="none"/>
        </w:rPr>
        <w:t>22</w:t>
      </w:r>
      <w:r>
        <w:rPr>
          <w:rFonts w:eastAsia="方正仿宋_GBK"/>
          <w:color w:val="000000"/>
          <w:kern w:val="0"/>
          <w:sz w:val="32"/>
          <w:szCs w:val="32"/>
          <w:highlight w:val="none"/>
        </w:rPr>
        <w:t>年</w:t>
      </w:r>
      <w:r>
        <w:rPr>
          <w:rFonts w:hint="eastAsia" w:eastAsia="方正仿宋_GBK"/>
          <w:color w:val="000000"/>
          <w:kern w:val="0"/>
          <w:sz w:val="32"/>
          <w:szCs w:val="32"/>
          <w:highlight w:val="none"/>
        </w:rPr>
        <w:t>11</w:t>
      </w:r>
      <w:r>
        <w:rPr>
          <w:rFonts w:eastAsia="方正仿宋_GBK"/>
          <w:color w:val="000000"/>
          <w:kern w:val="0"/>
          <w:sz w:val="32"/>
          <w:szCs w:val="32"/>
          <w:highlight w:val="none"/>
        </w:rPr>
        <w:t>月</w:t>
      </w:r>
      <w:r>
        <w:rPr>
          <w:rFonts w:hint="eastAsia" w:eastAsia="方正仿宋_GBK"/>
          <w:kern w:val="0"/>
          <w:sz w:val="32"/>
          <w:szCs w:val="32"/>
          <w:highlight w:val="none"/>
        </w:rPr>
        <w:t>10日</w:t>
      </w:r>
    </w:p>
    <w:p>
      <w:pPr>
        <w:spacing w:line="20" w:lineRule="atLeast"/>
        <w:jc w:val="center"/>
        <w:rPr>
          <w:rFonts w:eastAsia="方正仿宋_GBK"/>
          <w:kern w:val="0"/>
          <w:sz w:val="32"/>
          <w:szCs w:val="32"/>
          <w:highlight w:val="none"/>
        </w:rPr>
        <w:sectPr>
          <w:headerReference r:id="rId3" w:type="default"/>
          <w:footerReference r:id="rId5" w:type="default"/>
          <w:headerReference r:id="rId4" w:type="even"/>
          <w:footerReference r:id="rId6" w:type="even"/>
          <w:pgSz w:w="11906" w:h="16838"/>
          <w:pgMar w:top="1418" w:right="1474" w:bottom="1418" w:left="1531" w:header="851" w:footer="992" w:gutter="0"/>
          <w:pgNumType w:fmt="numberInDash" w:chapStyle="1"/>
          <w:cols w:space="720" w:num="1"/>
          <w:docGrid w:type="linesAndChars" w:linePitch="312" w:charSpace="0"/>
        </w:sectPr>
      </w:pPr>
    </w:p>
    <w:p>
      <w:pPr>
        <w:spacing w:line="360" w:lineRule="auto"/>
        <w:jc w:val="center"/>
        <w:rPr>
          <w:highlight w:val="none"/>
        </w:rPr>
      </w:pPr>
      <w:bookmarkStart w:id="0" w:name="_Toc1509"/>
      <w:r>
        <w:rPr>
          <w:rFonts w:hint="eastAsia" w:ascii="方正仿宋_GBK" w:hAnsi="方正仿宋_GBK" w:eastAsia="方正仿宋_GBK" w:cs="方正仿宋_GBK"/>
          <w:b/>
          <w:sz w:val="36"/>
          <w:szCs w:val="36"/>
          <w:highlight w:val="none"/>
        </w:rPr>
        <w:t>目       录</w:t>
      </w:r>
      <w:bookmarkEnd w:id="0"/>
    </w:p>
    <w:p>
      <w:pPr>
        <w:pStyle w:val="15"/>
        <w:keepNext w:val="0"/>
        <w:keepLines w:val="0"/>
        <w:pageBreakBefore w:val="0"/>
        <w:widowControl w:val="0"/>
        <w:tabs>
          <w:tab w:val="right" w:leader="dot" w:pos="8958"/>
          <w:tab w:val="clear" w:pos="8931"/>
        </w:tabs>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TOC \o "1-3" \h \z \u </w:instrText>
      </w:r>
      <w:r>
        <w:rPr>
          <w:rFonts w:hint="eastAsia" w:ascii="仿宋" w:hAnsi="仿宋" w:eastAsia="仿宋" w:cs="仿宋"/>
          <w:sz w:val="28"/>
          <w:szCs w:val="28"/>
          <w:highlight w:val="none"/>
        </w:rPr>
        <w:fldChar w:fldCharType="separate"/>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_Toc18694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lang w:val="en-US" w:eastAsia="zh-CN"/>
        </w:rPr>
        <w:t>一、</w:t>
      </w:r>
      <w:r>
        <w:rPr>
          <w:rFonts w:hint="eastAsia" w:ascii="仿宋" w:hAnsi="仿宋" w:eastAsia="仿宋" w:cs="仿宋"/>
          <w:b/>
          <w:bCs/>
          <w:sz w:val="28"/>
          <w:szCs w:val="28"/>
          <w:highlight w:val="none"/>
        </w:rPr>
        <w:t>项目基本情况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_Toc18694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w:t>
      </w:r>
      <w:r>
        <w:rPr>
          <w:rFonts w:hint="eastAsia" w:ascii="仿宋" w:hAnsi="仿宋" w:eastAsia="仿宋" w:cs="仿宋"/>
          <w:b/>
          <w:bCs/>
          <w:sz w:val="28"/>
          <w:szCs w:val="28"/>
        </w:rPr>
        <w:fldChar w:fldCharType="end"/>
      </w:r>
      <w:r>
        <w:rPr>
          <w:rFonts w:hint="eastAsia" w:ascii="仿宋" w:hAnsi="仿宋" w:eastAsia="仿宋" w:cs="仿宋"/>
          <w:b/>
          <w:bCs/>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_Toc11077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一</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绩效评价范围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_Toc11077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_Toc27089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_Toc27089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_Toc27144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）项目绩效目标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_Toc27144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5"/>
        <w:keepNext w:val="0"/>
        <w:keepLines w:val="0"/>
        <w:pageBreakBefore w:val="0"/>
        <w:widowControl w:val="0"/>
        <w:tabs>
          <w:tab w:val="right" w:leader="dot" w:pos="8958"/>
          <w:tab w:val="clear" w:pos="8931"/>
        </w:tabs>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_Toc12995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二、绩效评价工作情况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_Toc12995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9</w:t>
      </w:r>
      <w:r>
        <w:rPr>
          <w:rFonts w:hint="eastAsia" w:ascii="仿宋" w:hAnsi="仿宋" w:eastAsia="仿宋" w:cs="仿宋"/>
          <w:b/>
          <w:bCs/>
          <w:sz w:val="28"/>
          <w:szCs w:val="28"/>
        </w:rPr>
        <w:fldChar w:fldCharType="end"/>
      </w:r>
      <w:r>
        <w:rPr>
          <w:rFonts w:hint="eastAsia" w:ascii="仿宋" w:hAnsi="仿宋" w:eastAsia="仿宋" w:cs="仿宋"/>
          <w:b/>
          <w:bCs/>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_Toc17822 </w:instrText>
      </w:r>
      <w:r>
        <w:rPr>
          <w:rFonts w:hint="eastAsia" w:ascii="仿宋" w:hAnsi="仿宋" w:eastAsia="仿宋" w:cs="仿宋"/>
          <w:sz w:val="28"/>
          <w:szCs w:val="28"/>
          <w:highlight w:val="none"/>
        </w:rPr>
        <w:fldChar w:fldCharType="separate"/>
      </w:r>
      <w:r>
        <w:rPr>
          <w:rFonts w:hint="eastAsia" w:ascii="仿宋" w:hAnsi="仿宋" w:eastAsia="仿宋" w:cs="仿宋"/>
          <w:bCs/>
          <w:sz w:val="28"/>
          <w:szCs w:val="28"/>
          <w:highlight w:val="none"/>
        </w:rPr>
        <w:t>（一）绩效评价目的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_Toc17822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_Toc10835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rPr>
        <w:t xml:space="preserve">（二） </w:t>
      </w:r>
      <w:r>
        <w:rPr>
          <w:rFonts w:hint="eastAsia" w:ascii="仿宋" w:hAnsi="仿宋" w:eastAsia="仿宋" w:cs="仿宋"/>
          <w:sz w:val="28"/>
          <w:szCs w:val="28"/>
          <w:highlight w:val="none"/>
        </w:rPr>
        <w:t>绩效评价设计过程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_Toc10835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_Toc14103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（三）绩效评价原则、评价指标体系、绩效标准和评价方法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_Toc14103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_Toc26647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（四）证据收集方法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_Toc26647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_Toc30561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（五）绩效评价实施过程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_Toc30561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_Toc10771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（六）本次绩效评价的局限性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_Toc10771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5"/>
        <w:keepNext w:val="0"/>
        <w:keepLines w:val="0"/>
        <w:pageBreakBefore w:val="0"/>
        <w:widowControl w:val="0"/>
        <w:tabs>
          <w:tab w:val="right" w:leader="dot" w:pos="8958"/>
          <w:tab w:val="clear" w:pos="8931"/>
        </w:tabs>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_Toc23041 </w:instrText>
      </w:r>
      <w:r>
        <w:rPr>
          <w:rFonts w:hint="eastAsia" w:ascii="仿宋" w:hAnsi="仿宋" w:eastAsia="仿宋" w:cs="仿宋"/>
          <w:b/>
          <w:bCs/>
          <w:sz w:val="28"/>
          <w:szCs w:val="28"/>
          <w:highlight w:val="none"/>
        </w:rPr>
        <w:fldChar w:fldCharType="separate"/>
      </w:r>
      <w:r>
        <w:rPr>
          <w:rFonts w:hint="eastAsia" w:ascii="仿宋" w:hAnsi="仿宋" w:eastAsia="仿宋" w:cs="仿宋"/>
          <w:b/>
          <w:bCs/>
          <w:kern w:val="2"/>
          <w:sz w:val="28"/>
          <w:szCs w:val="28"/>
          <w:highlight w:val="none"/>
        </w:rPr>
        <w:t>三、绩效分析及评价结论</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_Toc23041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13</w:t>
      </w:r>
      <w:r>
        <w:rPr>
          <w:rFonts w:hint="eastAsia" w:ascii="仿宋" w:hAnsi="仿宋" w:eastAsia="仿宋" w:cs="仿宋"/>
          <w:b/>
          <w:bCs/>
          <w:sz w:val="28"/>
          <w:szCs w:val="28"/>
        </w:rPr>
        <w:fldChar w:fldCharType="end"/>
      </w:r>
      <w:r>
        <w:rPr>
          <w:rFonts w:hint="eastAsia" w:ascii="仿宋" w:hAnsi="仿宋" w:eastAsia="仿宋" w:cs="仿宋"/>
          <w:b/>
          <w:bCs/>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_Toc29978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（一）绩效分析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_Toc29978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_Toc23123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（二）评价结论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_Toc23123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5"/>
        <w:keepNext w:val="0"/>
        <w:keepLines w:val="0"/>
        <w:pageBreakBefore w:val="0"/>
        <w:widowControl w:val="0"/>
        <w:tabs>
          <w:tab w:val="right" w:leader="dot" w:pos="8958"/>
          <w:tab w:val="clear" w:pos="8931"/>
        </w:tabs>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_Toc8587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四、主要经验及做法</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_Toc8587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24</w:t>
      </w:r>
      <w:r>
        <w:rPr>
          <w:rFonts w:hint="eastAsia" w:ascii="仿宋" w:hAnsi="仿宋" w:eastAsia="仿宋" w:cs="仿宋"/>
          <w:b/>
          <w:bCs/>
          <w:sz w:val="28"/>
          <w:szCs w:val="28"/>
        </w:rPr>
        <w:fldChar w:fldCharType="end"/>
      </w:r>
      <w:r>
        <w:rPr>
          <w:rFonts w:hint="eastAsia" w:ascii="仿宋" w:hAnsi="仿宋" w:eastAsia="仿宋" w:cs="仿宋"/>
          <w:b/>
          <w:bCs/>
          <w:sz w:val="28"/>
          <w:szCs w:val="28"/>
          <w:highlight w:val="none"/>
        </w:rPr>
        <w:fldChar w:fldCharType="end"/>
      </w:r>
    </w:p>
    <w:p>
      <w:pPr>
        <w:pStyle w:val="15"/>
        <w:keepNext w:val="0"/>
        <w:keepLines w:val="0"/>
        <w:pageBreakBefore w:val="0"/>
        <w:widowControl w:val="0"/>
        <w:tabs>
          <w:tab w:val="right" w:leader="dot" w:pos="8958"/>
          <w:tab w:val="clear" w:pos="8931"/>
        </w:tabs>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_Toc22504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五、存在的问题和建议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_Toc22504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25</w:t>
      </w:r>
      <w:r>
        <w:rPr>
          <w:rFonts w:hint="eastAsia" w:ascii="仿宋" w:hAnsi="仿宋" w:eastAsia="仿宋" w:cs="仿宋"/>
          <w:b/>
          <w:bCs/>
          <w:sz w:val="28"/>
          <w:szCs w:val="28"/>
        </w:rPr>
        <w:fldChar w:fldCharType="end"/>
      </w:r>
      <w:r>
        <w:rPr>
          <w:rFonts w:hint="eastAsia" w:ascii="仿宋" w:hAnsi="仿宋" w:eastAsia="仿宋" w:cs="仿宋"/>
          <w:b/>
          <w:bCs/>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_Toc32441 </w:instrText>
      </w:r>
      <w:r>
        <w:rPr>
          <w:rFonts w:hint="eastAsia" w:ascii="仿宋" w:hAnsi="仿宋" w:eastAsia="仿宋" w:cs="仿宋"/>
          <w:sz w:val="28"/>
          <w:szCs w:val="28"/>
          <w:highlight w:val="none"/>
        </w:rPr>
        <w:fldChar w:fldCharType="separate"/>
      </w:r>
      <w:r>
        <w:rPr>
          <w:rFonts w:hint="eastAsia" w:ascii="仿宋" w:hAnsi="仿宋" w:eastAsia="仿宋" w:cs="仿宋"/>
          <w:bCs/>
          <w:sz w:val="28"/>
          <w:szCs w:val="28"/>
          <w:highlight w:val="none"/>
        </w:rPr>
        <w:t>（一）存在的问题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_Toc32441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pStyle w:val="16"/>
        <w:keepNext w:val="0"/>
        <w:keepLines w:val="0"/>
        <w:pageBreakBefore w:val="0"/>
        <w:widowControl w:val="0"/>
        <w:tabs>
          <w:tab w:val="right" w:leader="dot" w:pos="8958"/>
          <w:tab w:val="clear" w:pos="894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_Toc8894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（二）建议和改进举措</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_Toc8894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kern w:val="0"/>
          <w:sz w:val="28"/>
          <w:szCs w:val="28"/>
          <w:highlight w:val="none"/>
        </w:rPr>
        <w:sectPr>
          <w:footerReference r:id="rId7" w:type="default"/>
          <w:pgSz w:w="11906" w:h="16838"/>
          <w:pgMar w:top="1361" w:right="1474" w:bottom="1559" w:left="1474" w:header="851" w:footer="1157" w:gutter="0"/>
          <w:pgNumType w:start="1"/>
          <w:cols w:space="425" w:num="1"/>
          <w:docGrid w:type="lines" w:linePitch="312" w:charSpace="0"/>
        </w:sectPr>
      </w:pPr>
      <w:r>
        <w:rPr>
          <w:rFonts w:hint="eastAsia" w:ascii="仿宋" w:hAnsi="仿宋" w:eastAsia="仿宋" w:cs="仿宋"/>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cs="方正小标宋_GBK" w:asciiTheme="minorEastAsia" w:hAnsiTheme="minorEastAsia" w:eastAsiaTheme="minorEastAsia"/>
          <w:b/>
          <w:bCs/>
          <w:color w:val="auto"/>
          <w:kern w:val="0"/>
          <w:sz w:val="40"/>
          <w:szCs w:val="40"/>
          <w:highlight w:val="none"/>
        </w:rPr>
      </w:pPr>
      <w:bookmarkStart w:id="1" w:name="_Toc19479"/>
      <w:r>
        <w:rPr>
          <w:rFonts w:hint="eastAsia" w:cs="方正小标宋_GBK" w:asciiTheme="minorEastAsia" w:hAnsiTheme="minorEastAsia" w:eastAsiaTheme="minorEastAsia"/>
          <w:b/>
          <w:bCs/>
          <w:color w:val="auto"/>
          <w:kern w:val="0"/>
          <w:sz w:val="40"/>
          <w:szCs w:val="40"/>
          <w:highlight w:val="none"/>
          <w:lang w:val="en-US" w:eastAsia="zh-CN"/>
        </w:rPr>
        <w:t>2019年-2021年打洛镇曼夕村等7个村寨</w:t>
      </w:r>
      <w:r>
        <w:rPr>
          <w:rFonts w:hint="eastAsia" w:cs="方正小标宋_GBK" w:asciiTheme="minorEastAsia" w:hAnsiTheme="minorEastAsia" w:eastAsiaTheme="minorEastAsia"/>
          <w:b/>
          <w:bCs/>
          <w:color w:val="auto"/>
          <w:kern w:val="0"/>
          <w:sz w:val="40"/>
          <w:szCs w:val="40"/>
          <w:highlight w:val="none"/>
        </w:rPr>
        <w:t>边疆党建长廊“四位一体”建设试点项目</w:t>
      </w:r>
      <w:bookmarkEnd w:id="1"/>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cs="方正小标宋_GBK" w:asciiTheme="minorEastAsia" w:hAnsiTheme="minorEastAsia" w:eastAsiaTheme="minorEastAsia"/>
          <w:b/>
          <w:bCs/>
          <w:color w:val="000000"/>
          <w:kern w:val="0"/>
          <w:sz w:val="40"/>
          <w:szCs w:val="40"/>
          <w:highlight w:val="none"/>
        </w:rPr>
      </w:pPr>
      <w:bookmarkStart w:id="2" w:name="_Toc29998"/>
      <w:r>
        <w:rPr>
          <w:rFonts w:hint="eastAsia" w:cs="方正小标宋_GBK" w:asciiTheme="minorEastAsia" w:hAnsiTheme="minorEastAsia" w:eastAsiaTheme="minorEastAsia"/>
          <w:b/>
          <w:bCs/>
          <w:color w:val="000000"/>
          <w:kern w:val="0"/>
          <w:sz w:val="40"/>
          <w:szCs w:val="40"/>
          <w:highlight w:val="none"/>
        </w:rPr>
        <w:t>绩效评价报告</w:t>
      </w:r>
      <w:bookmarkEnd w:id="2"/>
      <w:r>
        <w:rPr>
          <w:rFonts w:hint="eastAsia" w:cs="方正小标宋_GBK" w:asciiTheme="minorEastAsia" w:hAnsiTheme="minorEastAsia" w:eastAsiaTheme="minorEastAsia"/>
          <w:b/>
          <w:bCs/>
          <w:color w:val="000000"/>
          <w:kern w:val="0"/>
          <w:sz w:val="40"/>
          <w:szCs w:val="40"/>
          <w:highlight w:val="none"/>
        </w:rPr>
        <w:t>（</w:t>
      </w:r>
      <w:r>
        <w:rPr>
          <w:rFonts w:hint="eastAsia" w:cs="方正小标宋_GBK" w:asciiTheme="minorEastAsia" w:hAnsiTheme="minorEastAsia" w:eastAsiaTheme="minorEastAsia"/>
          <w:b/>
          <w:bCs/>
          <w:color w:val="000000"/>
          <w:kern w:val="0"/>
          <w:sz w:val="40"/>
          <w:szCs w:val="40"/>
          <w:highlight w:val="none"/>
          <w:lang w:val="en-US" w:eastAsia="zh-CN"/>
        </w:rPr>
        <w:t>征求意见稿</w:t>
      </w:r>
      <w:r>
        <w:rPr>
          <w:rFonts w:hint="eastAsia" w:cs="方正小标宋_GBK" w:asciiTheme="minorEastAsia" w:hAnsiTheme="minorEastAsia" w:eastAsiaTheme="minorEastAsia"/>
          <w:b/>
          <w:bCs/>
          <w:color w:val="000000"/>
          <w:kern w:val="0"/>
          <w:sz w:val="40"/>
          <w:szCs w:val="4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3" w:firstLineChars="200"/>
        <w:jc w:val="center"/>
        <w:textAlignment w:val="auto"/>
        <w:rPr>
          <w:rStyle w:val="46"/>
          <w:rFonts w:hint="default" w:ascii="方正小标宋_GBK" w:hAnsi="方正小标宋_GBK" w:eastAsia="方正小标宋_GBK" w:cs="方正小标宋_GBK"/>
          <w:b/>
          <w:spacing w:val="-20"/>
          <w:szCs w:val="32"/>
          <w:highlight w:val="none"/>
        </w:rPr>
      </w:pPr>
    </w:p>
    <w:p>
      <w:pPr>
        <w:spacing w:line="360" w:lineRule="auto"/>
        <w:ind w:firstLine="640" w:firstLineChars="200"/>
        <w:rPr>
          <w:rStyle w:val="46"/>
          <w:rFonts w:hint="default" w:hAnsi="Mongolian Baiti" w:cs="Mongolian Baiti"/>
          <w:szCs w:val="32"/>
          <w:highlight w:val="none"/>
        </w:rPr>
      </w:pPr>
      <w:r>
        <w:rPr>
          <w:rStyle w:val="46"/>
          <w:rFonts w:hint="default" w:hAnsi="Mongolian Baiti" w:cs="Mongolian Baiti"/>
          <w:szCs w:val="32"/>
          <w:highlight w:val="none"/>
        </w:rPr>
        <w:t>根据《中华人民共和国预算法》规定，按照勐海县财政局关于《勐海县项目支出绩效评价管理实施办法》的通知（海财会监绩字〔2021〕2号）、《</w:t>
      </w:r>
      <w:r>
        <w:rPr>
          <w:rFonts w:hint="eastAsia" w:ascii="仿宋_GB2312" w:hAnsi="Calibri" w:eastAsia="仿宋_GB2312"/>
          <w:sz w:val="32"/>
          <w:szCs w:val="32"/>
          <w:highlight w:val="none"/>
        </w:rPr>
        <w:t>勐海县财政局关于开展2021年度财政评价的通知》（海财会监绩</w:t>
      </w:r>
      <w:r>
        <w:rPr>
          <w:rFonts w:hint="eastAsia" w:ascii="仿宋_GB2312" w:hAnsi="Calibri" w:eastAsia="仿宋_GB2312"/>
          <w:sz w:val="32"/>
          <w:szCs w:val="32"/>
          <w:highlight w:val="none"/>
          <w:lang w:val="en-US" w:eastAsia="zh-CN"/>
        </w:rPr>
        <w:t>字</w:t>
      </w:r>
      <w:r>
        <w:rPr>
          <w:rFonts w:hint="eastAsia" w:ascii="仿宋_GB2312" w:hAnsi="Calibri" w:eastAsia="仿宋_GB2312"/>
          <w:sz w:val="32"/>
          <w:szCs w:val="32"/>
          <w:highlight w:val="none"/>
        </w:rPr>
        <w:t>〔2022〕31号）</w:t>
      </w:r>
      <w:r>
        <w:rPr>
          <w:rStyle w:val="46"/>
          <w:rFonts w:hint="default" w:hAnsi="Mongolian Baiti" w:cs="Mongolian Baiti"/>
          <w:szCs w:val="32"/>
          <w:highlight w:val="none"/>
        </w:rPr>
        <w:t>的要求，2022年9月1日至10月31日，受勐海县财政局委托，云南信立会计师事务所有限公司对</w:t>
      </w:r>
      <w:r>
        <w:rPr>
          <w:rStyle w:val="46"/>
          <w:rFonts w:hint="eastAsia" w:hAnsi="Mongolian Baiti" w:eastAsia="仿宋_GB2312" w:cs="Mongolian Baiti"/>
          <w:szCs w:val="32"/>
          <w:highlight w:val="none"/>
          <w:lang w:val="en-US" w:eastAsia="zh-CN"/>
        </w:rPr>
        <w:t>2019年-2021年打洛镇曼夕村等7个村寨</w:t>
      </w:r>
      <w:r>
        <w:rPr>
          <w:rStyle w:val="46"/>
          <w:rFonts w:hint="default" w:hAnsi="Mongolian Baiti" w:cs="Mongolian Baiti"/>
          <w:szCs w:val="32"/>
          <w:highlight w:val="none"/>
        </w:rPr>
        <w:t>边疆党建长廊</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四位一体</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建设试点项目的绩效进行评价。现将评价过程及结果报告如下：</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640" w:leftChars="0"/>
        <w:textAlignment w:val="auto"/>
        <w:rPr>
          <w:rFonts w:hint="eastAsia" w:ascii="黑体" w:hAnsi="黑体"/>
          <w:color w:val="000000"/>
          <w:szCs w:val="32"/>
          <w:highlight w:val="none"/>
        </w:rPr>
      </w:pPr>
      <w:bookmarkStart w:id="3" w:name="_Toc18694"/>
      <w:bookmarkStart w:id="4" w:name="_Toc8722"/>
      <w:r>
        <w:rPr>
          <w:rFonts w:hint="eastAsia" w:ascii="黑体" w:hAnsi="黑体"/>
          <w:color w:val="000000"/>
          <w:szCs w:val="32"/>
          <w:highlight w:val="none"/>
          <w:lang w:val="en-US" w:eastAsia="zh-CN"/>
        </w:rPr>
        <w:t>一、</w:t>
      </w:r>
      <w:r>
        <w:rPr>
          <w:rFonts w:hint="eastAsia" w:ascii="黑体" w:hAnsi="黑体"/>
          <w:color w:val="000000"/>
          <w:szCs w:val="32"/>
          <w:highlight w:val="none"/>
        </w:rPr>
        <w:t>项目基本情况</w:t>
      </w:r>
      <w:bookmarkEnd w:id="3"/>
      <w:bookmarkEnd w:id="4"/>
    </w:p>
    <w:p>
      <w:pPr>
        <w:pStyle w:val="5"/>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楷体_GB2312" w:eastAsia="楷体_GB2312" w:cs="Times New Roman"/>
          <w:color w:val="000000"/>
          <w:highlight w:val="none"/>
          <w:lang w:val="en-US" w:eastAsia="zh-CN"/>
        </w:rPr>
      </w:pPr>
      <w:bookmarkStart w:id="5" w:name="_Toc11077"/>
      <w:r>
        <w:rPr>
          <w:rFonts w:hint="eastAsia" w:ascii="楷体_GB2312" w:eastAsia="楷体_GB2312" w:cs="Times New Roman"/>
          <w:color w:val="000000"/>
          <w:highlight w:val="none"/>
          <w:lang w:eastAsia="zh-CN"/>
        </w:rPr>
        <w:t>（</w:t>
      </w:r>
      <w:r>
        <w:rPr>
          <w:rFonts w:hint="eastAsia" w:ascii="楷体_GB2312" w:eastAsia="楷体_GB2312" w:cs="Times New Roman"/>
          <w:color w:val="000000"/>
          <w:highlight w:val="none"/>
          <w:lang w:val="en-US" w:eastAsia="zh-CN"/>
        </w:rPr>
        <w:t>一</w:t>
      </w:r>
      <w:r>
        <w:rPr>
          <w:rFonts w:hint="eastAsia" w:ascii="楷体_GB2312" w:eastAsia="楷体_GB2312" w:cs="Times New Roman"/>
          <w:color w:val="000000"/>
          <w:highlight w:val="none"/>
          <w:lang w:eastAsia="zh-CN"/>
        </w:rPr>
        <w:t>）</w:t>
      </w:r>
      <w:r>
        <w:rPr>
          <w:rFonts w:hint="eastAsia" w:ascii="楷体_GB2312" w:eastAsia="楷体_GB2312" w:cs="Times New Roman"/>
          <w:color w:val="000000"/>
          <w:highlight w:val="none"/>
          <w:lang w:val="en-US" w:eastAsia="zh-CN"/>
        </w:rPr>
        <w:t>绩效评价范围</w:t>
      </w:r>
      <w:bookmarkEnd w:id="5"/>
    </w:p>
    <w:p>
      <w:pPr>
        <w:pStyle w:val="2"/>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Style w:val="46"/>
          <w:rFonts w:hint="default" w:hAnsi="Mongolian Baiti" w:cs="Mongolian Baiti"/>
          <w:kern w:val="2"/>
          <w:szCs w:val="32"/>
          <w:highlight w:val="none"/>
          <w:lang w:val="en-US" w:eastAsia="zh-CN" w:bidi="ar-SA"/>
        </w:rPr>
      </w:pPr>
      <w:r>
        <w:rPr>
          <w:rStyle w:val="46"/>
          <w:rFonts w:hint="eastAsia" w:hAnsi="Mongolian Baiti" w:cs="Mongolian Baiti"/>
          <w:kern w:val="2"/>
          <w:szCs w:val="32"/>
          <w:highlight w:val="none"/>
          <w:lang w:val="en-US" w:eastAsia="zh-CN" w:bidi="ar-SA"/>
        </w:rPr>
        <w:t>本次绩效评价涉及2019年打洛镇曼夕村、勐满镇关双村、布朗山乡曼囡村边疆党建长廊“四位一体”建设试点项目（以下简称：2019年“四位一体”项目），勐海县2020年勐满镇班倒村、西定乡章朗村边疆党建长廊“四位一体”建设试点项目（以下简称：2020年“四位一体”项目）及勐海县2021年强边固防“四位一体”建设项目（以下简称：2021年“四位一体”项目）。</w:t>
      </w:r>
    </w:p>
    <w:p>
      <w:pPr>
        <w:pStyle w:val="5"/>
        <w:spacing w:before="0" w:after="0" w:line="360" w:lineRule="auto"/>
        <w:ind w:firstLine="643" w:firstLineChars="200"/>
        <w:rPr>
          <w:rFonts w:ascii="仿宋_GB2312" w:hAnsi="方正楷体_GBK" w:eastAsia="仿宋_GB2312" w:cs="方正楷体_GBK"/>
          <w:highlight w:val="none"/>
          <w:lang w:val="zh-CN"/>
        </w:rPr>
      </w:pPr>
      <w:bookmarkStart w:id="6" w:name="_Toc27089"/>
      <w:r>
        <w:rPr>
          <w:rFonts w:hint="eastAsia" w:ascii="楷体_GB2312" w:eastAsia="楷体_GB2312" w:cs="Times New Roman"/>
          <w:color w:val="000000"/>
          <w:highlight w:val="none"/>
        </w:rPr>
        <w:t>（</w:t>
      </w:r>
      <w:r>
        <w:rPr>
          <w:rFonts w:hint="eastAsia" w:ascii="楷体_GB2312" w:eastAsia="楷体_GB2312" w:cs="Times New Roman"/>
          <w:color w:val="000000"/>
          <w:highlight w:val="none"/>
          <w:lang w:val="en-US" w:eastAsia="zh-CN"/>
        </w:rPr>
        <w:t>二</w:t>
      </w:r>
      <w:r>
        <w:rPr>
          <w:rFonts w:hint="eastAsia" w:ascii="楷体_GB2312" w:eastAsia="楷体_GB2312" w:cs="Times New Roman"/>
          <w:color w:val="000000"/>
          <w:highlight w:val="none"/>
        </w:rPr>
        <w:t>）项目概况</w:t>
      </w:r>
      <w:bookmarkEnd w:id="6"/>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1.项目立项背景</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szCs w:val="32"/>
          <w:highlight w:val="none"/>
        </w:rPr>
        <w:t>根据中共云南省委组织部 云南省财政厅 云南省农业农村厅《关于进一步抓好强边固防</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四位一体</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建设项目的通知》（云组通〔2021〕26号）等文件的通知，为贯彻落实省委强边固防工作会议精神，进一步强化边疆党建长廊建设,深化抓党建、促强边固防各项工作,努力把边境沿线村寨打造成为</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基础牢、产业兴、环境美、生活好、边疆稳、党建强</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的战斗堡垒村、先锋模范村、小康示范村、和谐平安村、红色美丽村,切实筑牢强边固防、兴边富民的组织基础和工作基础，建立</w:t>
      </w:r>
      <w:r>
        <w:rPr>
          <w:rStyle w:val="46"/>
          <w:rFonts w:hint="eastAsia" w:hAnsi="Mongolian Baiti" w:eastAsia="仿宋_GB2312" w:cs="Mongolian Baiti"/>
          <w:szCs w:val="32"/>
          <w:highlight w:val="none"/>
          <w:lang w:val="en-US" w:eastAsia="zh-CN"/>
        </w:rPr>
        <w:t>2019年-2021年打洛镇曼夕村等7个村寨</w:t>
      </w:r>
      <w:r>
        <w:rPr>
          <w:rStyle w:val="46"/>
          <w:rFonts w:hint="default" w:hAnsi="Mongolian Baiti" w:cs="Mongolian Baiti"/>
          <w:szCs w:val="32"/>
          <w:highlight w:val="none"/>
        </w:rPr>
        <w:t>边疆党建长廊</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四位一体</w:t>
      </w:r>
      <w:r>
        <w:rPr>
          <w:rStyle w:val="46"/>
          <w:rFonts w:hint="eastAsia" w:hAnsi="Mongolian Baiti" w:eastAsia="仿宋_GB2312" w:cs="Mongolian Baiti"/>
          <w:szCs w:val="32"/>
          <w:highlight w:val="none"/>
          <w:lang w:eastAsia="zh-CN"/>
        </w:rPr>
        <w:t>”</w:t>
      </w:r>
      <w:r>
        <w:rPr>
          <w:rStyle w:val="46"/>
          <w:rFonts w:hint="default" w:hAnsi="Mongolian Baiti" w:cs="Mongolian Baiti"/>
          <w:szCs w:val="32"/>
          <w:highlight w:val="none"/>
        </w:rPr>
        <w:t>建</w:t>
      </w:r>
      <w:r>
        <w:rPr>
          <w:rStyle w:val="46"/>
          <w:rFonts w:hint="default" w:hAnsi="Mongolian Baiti" w:cs="Mongolian Baiti"/>
          <w:highlight w:val="none"/>
        </w:rPr>
        <w:t>设试点项目。</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项目的实施推崇以人民为中心的发展思想和绿水青山就是金山银山的理念；学习借鉴浙江省</w:t>
      </w:r>
      <w:r>
        <w:rPr>
          <w:rStyle w:val="46"/>
          <w:rFonts w:hint="eastAsia" w:hAnsi="Mongolian Baiti" w:eastAsia="仿宋_GB2312" w:cs="Mongolian Baiti"/>
          <w:szCs w:val="32"/>
          <w:highlight w:val="none"/>
          <w:lang w:eastAsia="zh-CN"/>
        </w:rPr>
        <w:t>“</w:t>
      </w:r>
      <w:r>
        <w:rPr>
          <w:rStyle w:val="46"/>
          <w:rFonts w:hint="default" w:hAnsi="Mongolian Baiti" w:cs="Mongolian Baiti"/>
          <w:highlight w:val="none"/>
        </w:rPr>
        <w:t>千村示范、万村整治</w:t>
      </w:r>
      <w:r>
        <w:rPr>
          <w:rStyle w:val="46"/>
          <w:rFonts w:hint="eastAsia" w:hAnsi="Mongolian Baiti" w:eastAsia="仿宋_GB2312" w:cs="Mongolian Baiti"/>
          <w:szCs w:val="32"/>
          <w:highlight w:val="none"/>
          <w:lang w:eastAsia="zh-CN"/>
        </w:rPr>
        <w:t>”</w:t>
      </w:r>
      <w:r>
        <w:rPr>
          <w:rStyle w:val="46"/>
          <w:rFonts w:hint="default" w:hAnsi="Mongolian Baiti" w:cs="Mongolian Baiti"/>
          <w:highlight w:val="none"/>
        </w:rPr>
        <w:t>工程经验。立足乡村资源环境条件，以生态宜居为目标；以村容村貌提升、生活垃圾处理、生活污水治理、农村</w:t>
      </w:r>
      <w:r>
        <w:rPr>
          <w:rStyle w:val="46"/>
          <w:rFonts w:hint="eastAsia" w:hAnsi="Mongolian Baiti" w:eastAsia="仿宋_GB2312" w:cs="Mongolian Baiti"/>
          <w:szCs w:val="32"/>
          <w:highlight w:val="none"/>
          <w:lang w:eastAsia="zh-CN"/>
        </w:rPr>
        <w:t>“</w:t>
      </w:r>
      <w:r>
        <w:rPr>
          <w:rStyle w:val="46"/>
          <w:rFonts w:hint="default" w:hAnsi="Mongolian Baiti" w:cs="Mongolian Baiti"/>
          <w:highlight w:val="none"/>
        </w:rPr>
        <w:t>厕所革命</w:t>
      </w:r>
      <w:r>
        <w:rPr>
          <w:rStyle w:val="46"/>
          <w:rFonts w:hint="eastAsia" w:hAnsi="Mongolian Baiti" w:eastAsia="仿宋_GB2312" w:cs="Mongolian Baiti"/>
          <w:szCs w:val="32"/>
          <w:highlight w:val="none"/>
          <w:lang w:eastAsia="zh-CN"/>
        </w:rPr>
        <w:t>”</w:t>
      </w:r>
      <w:r>
        <w:rPr>
          <w:rStyle w:val="46"/>
          <w:rFonts w:hint="default" w:hAnsi="Mongolian Baiti" w:cs="Mongolian Baiti"/>
          <w:highlight w:val="none"/>
        </w:rPr>
        <w:t>、农业生产废弃物资源化利用、完善建设和管护机制等为主攻方向；因地制宜、分类推进农村人居环境整治，不脱离实际，不大拆大建，调动农民主体和市场主体力量，建设美丽宜居乡村。</w:t>
      </w:r>
    </w:p>
    <w:p>
      <w:pPr>
        <w:spacing w:line="360" w:lineRule="auto"/>
        <w:ind w:firstLine="640" w:firstLineChars="200"/>
        <w:rPr>
          <w:rStyle w:val="46"/>
          <w:rFonts w:hint="default" w:hAnsi="Mongolian Baiti" w:cs="Mongolian Baiti"/>
          <w:highlight w:val="none"/>
        </w:rPr>
      </w:pPr>
      <w:bookmarkStart w:id="7" w:name="_Toc16076"/>
      <w:r>
        <w:rPr>
          <w:rStyle w:val="46"/>
          <w:rFonts w:hint="default" w:hAnsi="Mongolian Baiti" w:cs="Mongolian Baiti"/>
          <w:highlight w:val="none"/>
        </w:rPr>
        <w:t>2.项目实施情况</w:t>
      </w:r>
      <w:bookmarkEnd w:id="7"/>
    </w:p>
    <w:p>
      <w:pPr>
        <w:spacing w:line="360" w:lineRule="auto"/>
        <w:ind w:firstLine="640" w:firstLineChars="200"/>
        <w:rPr>
          <w:rStyle w:val="46"/>
          <w:rFonts w:hint="default" w:hAnsi="Mongolian Baiti" w:cs="Mongolian Baiti"/>
          <w:szCs w:val="32"/>
          <w:highlight w:val="none"/>
        </w:rPr>
      </w:pPr>
      <w:r>
        <w:rPr>
          <w:rStyle w:val="46"/>
          <w:rFonts w:hint="default" w:hAnsi="Mongolian Baiti" w:cs="Mongolian Baiti"/>
          <w:szCs w:val="32"/>
          <w:highlight w:val="none"/>
        </w:rPr>
        <w:t>（1）项目组织实施情况</w:t>
      </w:r>
    </w:p>
    <w:p>
      <w:pPr>
        <w:spacing w:line="360" w:lineRule="auto"/>
        <w:ind w:firstLine="640" w:firstLineChars="200"/>
        <w:rPr>
          <w:rStyle w:val="46"/>
          <w:rFonts w:hint="default" w:hAnsi="Mongolian Baiti" w:cs="Mongolian Baiti"/>
          <w:szCs w:val="32"/>
          <w:highlight w:val="none"/>
        </w:rPr>
      </w:pPr>
      <w:r>
        <w:rPr>
          <w:rStyle w:val="46"/>
          <w:rFonts w:hint="default" w:hAnsi="Mongolian Baiti" w:cs="Mongolian Baiti"/>
          <w:szCs w:val="32"/>
          <w:highlight w:val="none"/>
        </w:rPr>
        <w:t>根据项目《实施方案》，为完善工作机制，确保项目顺利实施并实现预期收益，中国共产党勐海县委员会组织部联合勐海县财政局、勐海县自然资源局、勐海县住房和城乡建设局等部门成立了项目工作领导小组，并对各单位的责任权利进行了明确。具体如下：</w:t>
      </w:r>
    </w:p>
    <w:p>
      <w:pPr>
        <w:spacing w:line="360" w:lineRule="auto"/>
        <w:ind w:firstLine="640" w:firstLineChars="200"/>
        <w:rPr>
          <w:rStyle w:val="46"/>
          <w:rFonts w:hint="default" w:hAnsi="Mongolian Baiti" w:cs="Mongolian Baiti"/>
          <w:szCs w:val="32"/>
          <w:highlight w:val="none"/>
        </w:rPr>
      </w:pPr>
      <w:r>
        <w:rPr>
          <w:rStyle w:val="46"/>
          <w:rFonts w:hint="default" w:ascii="宋体" w:hAnsi="宋体" w:eastAsia="宋体" w:cs="宋体"/>
          <w:szCs w:val="32"/>
          <w:highlight w:val="none"/>
        </w:rPr>
        <w:t>①</w:t>
      </w:r>
      <w:r>
        <w:rPr>
          <w:rStyle w:val="46"/>
          <w:rFonts w:hint="default" w:hAnsi="Mongolian Baiti" w:cs="Mongolian Baiti"/>
          <w:szCs w:val="32"/>
          <w:highlight w:val="none"/>
        </w:rPr>
        <w:t>县委组织部：发挥牵头抓总、协调各方的作用；召集项目组开展工作会议，协调做好项目选择、项目申报、方案编制、项目实施工作；研究协调解决突出问题，指导做好农村基层党组织建设工作。</w:t>
      </w:r>
    </w:p>
    <w:p>
      <w:pPr>
        <w:spacing w:line="360" w:lineRule="auto"/>
        <w:ind w:firstLine="640" w:firstLineChars="200"/>
        <w:rPr>
          <w:rStyle w:val="46"/>
          <w:rFonts w:hint="default" w:hAnsi="Mongolian Baiti" w:cs="Mongolian Baiti"/>
          <w:highlight w:val="none"/>
        </w:rPr>
      </w:pPr>
      <w:r>
        <w:rPr>
          <w:rStyle w:val="46"/>
          <w:rFonts w:hint="default" w:ascii="宋体" w:hAnsi="宋体" w:eastAsia="宋体" w:cs="宋体"/>
          <w:szCs w:val="32"/>
          <w:highlight w:val="none"/>
        </w:rPr>
        <w:t>②</w:t>
      </w:r>
      <w:r>
        <w:rPr>
          <w:rStyle w:val="46"/>
          <w:rFonts w:hint="default" w:hAnsi="Mongolian Baiti" w:cs="Mongolian Baiti"/>
          <w:szCs w:val="32"/>
          <w:highlight w:val="none"/>
        </w:rPr>
        <w:t>县财政局：做好项目资金的拨付；加强对扶持资金项目的监督检查，总结推广成功经验，及时纠正资金使用、工作推进中</w:t>
      </w:r>
      <w:r>
        <w:rPr>
          <w:rStyle w:val="46"/>
          <w:rFonts w:hint="default" w:hAnsi="Mongolian Baiti" w:cs="Mongolian Baiti"/>
          <w:highlight w:val="none"/>
        </w:rPr>
        <w:t>的问题。指导基层做好项目选择、项目申报、方案编制、项目实施工作；积极支持项目组工作。</w:t>
      </w:r>
    </w:p>
    <w:p>
      <w:pPr>
        <w:spacing w:line="360" w:lineRule="auto"/>
        <w:ind w:firstLine="640" w:firstLineChars="200"/>
        <w:rPr>
          <w:rStyle w:val="46"/>
          <w:rFonts w:hint="default" w:hAnsi="Mongolian Baiti" w:cs="Mongolian Baiti"/>
          <w:highlight w:val="none"/>
        </w:rPr>
      </w:pPr>
      <w:r>
        <w:rPr>
          <w:rStyle w:val="46"/>
          <w:rFonts w:hint="default" w:ascii="宋体" w:hAnsi="宋体" w:eastAsia="宋体" w:cs="宋体"/>
          <w:szCs w:val="32"/>
          <w:highlight w:val="none"/>
        </w:rPr>
        <w:t>③</w:t>
      </w:r>
      <w:r>
        <w:rPr>
          <w:rStyle w:val="46"/>
          <w:rFonts w:hint="default" w:hAnsi="Mongolian Baiti" w:cs="Mongolian Baiti"/>
          <w:szCs w:val="32"/>
          <w:highlight w:val="none"/>
        </w:rPr>
        <w:t>县自然资源局：积极配合做好项目选址，在符合土地利用总体规划、城镇建设规划和避让生态红线（包括永久基本农田）前提下，优先使用集体建设用地指标予以保障，做好项目用地报</w:t>
      </w:r>
      <w:r>
        <w:rPr>
          <w:rStyle w:val="46"/>
          <w:rFonts w:hint="default" w:hAnsi="Mongolian Baiti" w:cs="Mongolian Baiti"/>
          <w:highlight w:val="none"/>
        </w:rPr>
        <w:t>批服务；协调做好项目不动产权证办理工作；积极支持项目组工作。</w:t>
      </w:r>
    </w:p>
    <w:p>
      <w:pPr>
        <w:spacing w:line="360" w:lineRule="auto"/>
        <w:ind w:firstLine="640" w:firstLineChars="200"/>
        <w:rPr>
          <w:rStyle w:val="46"/>
          <w:rFonts w:hint="default" w:hAnsi="Mongolian Baiti" w:cs="Mongolian Baiti"/>
          <w:highlight w:val="none"/>
        </w:rPr>
      </w:pPr>
      <w:r>
        <w:rPr>
          <w:rStyle w:val="46"/>
          <w:rFonts w:hint="default" w:ascii="宋体" w:hAnsi="宋体" w:eastAsia="宋体" w:cs="宋体"/>
          <w:szCs w:val="32"/>
          <w:highlight w:val="none"/>
        </w:rPr>
        <w:t>④</w:t>
      </w:r>
      <w:r>
        <w:rPr>
          <w:rStyle w:val="46"/>
          <w:rFonts w:hint="default" w:hAnsi="Mongolian Baiti" w:cs="Mongolian Baiti"/>
          <w:szCs w:val="32"/>
          <w:highlight w:val="none"/>
        </w:rPr>
        <w:t>县住房和城乡建设局：做好项目质量把关，为项目实施和验收提供技术等方面支持；积极支持项目组工作。</w:t>
      </w:r>
    </w:p>
    <w:p>
      <w:pPr>
        <w:spacing w:line="360" w:lineRule="auto"/>
        <w:ind w:firstLine="640" w:firstLineChars="200"/>
        <w:rPr>
          <w:rStyle w:val="46"/>
          <w:rFonts w:hint="default" w:hAnsi="Mongolian Baiti" w:cs="Mongolian Baiti"/>
          <w:highlight w:val="none"/>
        </w:rPr>
      </w:pPr>
      <w:r>
        <w:rPr>
          <w:rStyle w:val="46"/>
          <w:rFonts w:hint="default" w:ascii="宋体" w:hAnsi="宋体" w:eastAsia="宋体" w:cs="宋体"/>
          <w:szCs w:val="32"/>
          <w:highlight w:val="none"/>
        </w:rPr>
        <w:t>⑤</w:t>
      </w:r>
      <w:r>
        <w:rPr>
          <w:rStyle w:val="46"/>
          <w:rFonts w:hint="default" w:hAnsi="Mongolian Baiti" w:cs="Mongolian Baiti"/>
          <w:szCs w:val="32"/>
          <w:highlight w:val="none"/>
        </w:rPr>
        <w:t>县农业农村局：指导基层做好项目选择、项目申报、方案编制、项目实施工作；为实施项目提供规划指导、技术推广、产销对接等服务支持；加强对扶持村产业发展、土地流转、招商引资、人才培训、政策宣传等方面的指导；积极支持项目组工作。</w:t>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（2）项目主要内容</w:t>
      </w:r>
    </w:p>
    <w:p>
      <w:pPr>
        <w:spacing w:line="360" w:lineRule="auto"/>
        <w:ind w:firstLine="640" w:firstLineChars="200"/>
        <w:jc w:val="left"/>
        <w:rPr>
          <w:rStyle w:val="46"/>
          <w:rFonts w:hint="default" w:ascii="仿宋" w:hAnsi="仿宋" w:eastAsia="仿宋" w:cs="Mongolian Baiti"/>
          <w:highlight w:val="none"/>
        </w:rPr>
      </w:pPr>
      <w:r>
        <w:rPr>
          <w:rStyle w:val="46"/>
          <w:rFonts w:hint="default" w:ascii="仿宋" w:hAnsi="仿宋" w:eastAsia="仿宋" w:cs="Mongolian Baiti"/>
          <w:highlight w:val="none"/>
        </w:rPr>
        <w:t>①项目实施内容</w:t>
      </w:r>
    </w:p>
    <w:p>
      <w:pPr>
        <w:spacing w:line="360" w:lineRule="auto"/>
        <w:ind w:firstLine="640" w:firstLineChars="200"/>
        <w:jc w:val="left"/>
        <w:rPr>
          <w:rStyle w:val="46"/>
          <w:rFonts w:hint="default" w:ascii="仿宋" w:hAnsi="仿宋" w:eastAsia="仿宋" w:cs="Mongolian Baiti"/>
          <w:highlight w:val="none"/>
        </w:rPr>
      </w:pPr>
      <w:r>
        <w:rPr>
          <w:rStyle w:val="46"/>
          <w:rFonts w:hint="default" w:ascii="仿宋" w:hAnsi="仿宋" w:eastAsia="仿宋" w:cs="Mongolian Baiti"/>
          <w:highlight w:val="none"/>
        </w:rPr>
        <w:t xml:space="preserve">根据提供的批复资料，项目建设地点位于打洛镇曼夕村、勐满镇关双村、布朗山乡曼囡村、勐满镇班倒村、西定乡章朗村、打洛镇打洛村及打洛镇曼山村7个村寨，项目建设主要内容包括：  </w:t>
      </w:r>
    </w:p>
    <w:p>
      <w:pPr>
        <w:spacing w:line="360" w:lineRule="auto"/>
        <w:ind w:firstLine="640" w:firstLineChars="200"/>
        <w:jc w:val="left"/>
        <w:rPr>
          <w:rStyle w:val="46"/>
          <w:rFonts w:hint="default" w:ascii="仿宋" w:hAnsi="仿宋" w:eastAsia="仿宋" w:cs="Mongolian Baiti"/>
          <w:highlight w:val="none"/>
        </w:rPr>
      </w:pPr>
      <w:r>
        <w:rPr>
          <w:rStyle w:val="46"/>
          <w:rFonts w:hint="default" w:ascii="仿宋" w:hAnsi="仿宋" w:eastAsia="仿宋" w:cs="Mongolian Baiti"/>
          <w:highlight w:val="none"/>
        </w:rPr>
        <w:t>提升人居环境方面建设项目（含村内道路提升改造、集中养殖点建设、垃圾填埋点修建、洗手台及垃圾中转站建设等）；扶持村级集体经济发展方面建设项目（含新建猪舍及茶叶初制所、购置茶叶初制所设备、流转茶叶地等）</w:t>
      </w:r>
      <w:r>
        <w:rPr>
          <w:rStyle w:val="46"/>
          <w:rFonts w:hint="default" w:ascii="仿宋" w:hAnsi="仿宋" w:eastAsia="仿宋" w:cs="Mongolian Baiti"/>
          <w:color w:val="auto"/>
          <w:highlight w:val="none"/>
        </w:rPr>
        <w:t>；建强基础组织方面建设项目（含新建感恩亭、村史馆、传习亭，办公</w:t>
      </w:r>
      <w:r>
        <w:rPr>
          <w:rStyle w:val="46"/>
          <w:rFonts w:hint="default" w:ascii="仿宋" w:hAnsi="仿宋" w:eastAsia="仿宋" w:cs="Mongolian Baiti"/>
          <w:highlight w:val="none"/>
        </w:rPr>
        <w:t>区及配套设施改造，红旗飘飘工程等）；提高治理水平方面建设项目（含村民居住环境改造，守望亭及村史馆建设等）。</w:t>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②项目批复情况</w:t>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根据提供的批复资料，项目概算总投资4,546.00万元，各项目取得批准建设的批复情况如下</w:t>
      </w:r>
      <w:r>
        <w:rPr>
          <w:rStyle w:val="46"/>
          <w:rFonts w:hint="eastAsia" w:hAnsi="Mongolian Baiti" w:eastAsia="仿宋_GB2312" w:cs="Mongolian Baiti"/>
          <w:highlight w:val="none"/>
          <w:lang w:val="en-US" w:eastAsia="zh-CN"/>
        </w:rPr>
        <w:t>表：</w:t>
      </w:r>
    </w:p>
    <w:p>
      <w:pPr>
        <w:spacing w:line="360" w:lineRule="auto"/>
        <w:ind w:firstLine="562" w:firstLineChars="200"/>
        <w:jc w:val="center"/>
        <w:rPr>
          <w:rStyle w:val="46"/>
          <w:rFonts w:hint="default" w:hAnsi="Mongolian Baiti" w:cs="Mongolian Baiti"/>
          <w:b/>
          <w:bCs/>
          <w:sz w:val="28"/>
          <w:szCs w:val="22"/>
          <w:highlight w:val="none"/>
        </w:rPr>
      </w:pPr>
      <w:r>
        <w:rPr>
          <w:rStyle w:val="46"/>
          <w:rFonts w:hint="default" w:hAnsi="Mongolian Baiti" w:cs="Mongolian Baiti"/>
          <w:b/>
          <w:bCs/>
          <w:sz w:val="28"/>
          <w:szCs w:val="22"/>
          <w:highlight w:val="none"/>
        </w:rPr>
        <w:t>项目批复情况表</w:t>
      </w:r>
    </w:p>
    <w:p>
      <w:pPr>
        <w:spacing w:line="360" w:lineRule="auto"/>
        <w:ind w:firstLine="562" w:firstLineChars="200"/>
        <w:jc w:val="right"/>
        <w:rPr>
          <w:rStyle w:val="46"/>
          <w:rFonts w:hint="default" w:hAnsi="Mongolian Baiti" w:cs="Mongolian Baiti"/>
          <w:b/>
          <w:bCs/>
          <w:sz w:val="28"/>
          <w:szCs w:val="22"/>
          <w:highlight w:val="none"/>
        </w:rPr>
      </w:pPr>
      <w:r>
        <w:rPr>
          <w:rStyle w:val="46"/>
          <w:rFonts w:hint="default" w:hAnsi="Mongolian Baiti" w:cs="Mongolian Baiti"/>
          <w:b/>
          <w:bCs/>
          <w:sz w:val="28"/>
          <w:szCs w:val="22"/>
          <w:highlight w:val="none"/>
        </w:rPr>
        <w:t>金额单位：万元</w:t>
      </w:r>
    </w:p>
    <w:p>
      <w:pPr>
        <w:spacing w:line="360" w:lineRule="auto"/>
        <w:rPr>
          <w:highlight w:val="none"/>
        </w:rPr>
      </w:pPr>
      <w:r>
        <w:rPr>
          <w:highlight w:val="none"/>
        </w:rPr>
        <w:drawing>
          <wp:inline distT="0" distB="0" distL="114300" distR="114300">
            <wp:extent cx="5687060" cy="1544320"/>
            <wp:effectExtent l="0" t="0" r="254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687060" cy="1544320"/>
                    </a:xfrm>
                    <a:prstGeom prst="rect">
                      <a:avLst/>
                    </a:prstGeom>
                    <a:noFill/>
                    <a:ln>
                      <a:noFill/>
                    </a:ln>
                  </pic:spPr>
                </pic:pic>
              </a:graphicData>
            </a:graphic>
          </wp:inline>
        </w:drawing>
      </w:r>
    </w:p>
    <w:p>
      <w:pPr>
        <w:pStyle w:val="2"/>
        <w:rPr>
          <w:highlight w:val="none"/>
        </w:rPr>
      </w:pPr>
    </w:p>
    <w:p>
      <w:pPr>
        <w:pStyle w:val="2"/>
        <w:rPr>
          <w:highlight w:val="none"/>
        </w:rPr>
      </w:pPr>
    </w:p>
    <w:p>
      <w:pPr>
        <w:pStyle w:val="2"/>
        <w:rPr>
          <w:highlight w:val="none"/>
        </w:rPr>
      </w:pPr>
    </w:p>
    <w:p>
      <w:pPr>
        <w:pStyle w:val="2"/>
        <w:rPr>
          <w:rFonts w:hint="default"/>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highlight w:val="none"/>
        </w:rPr>
      </w:pPr>
      <w:bookmarkStart w:id="8" w:name="_Toc21581"/>
      <w:r>
        <w:rPr>
          <w:highlight w:val="none"/>
        </w:rPr>
        <w:drawing>
          <wp:inline distT="0" distB="0" distL="114300" distR="114300">
            <wp:extent cx="5687060" cy="2408555"/>
            <wp:effectExtent l="0" t="0" r="254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687060" cy="2408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638" w:leftChars="304" w:firstLine="0" w:firstLineChars="0"/>
        <w:textAlignment w:val="auto"/>
        <w:rPr>
          <w:rStyle w:val="46"/>
          <w:rFonts w:hint="default" w:hAnsi="Mongolian Baiti" w:cs="Mongolian Baiti"/>
          <w:highlight w:val="none"/>
        </w:rPr>
      </w:pPr>
      <w:r>
        <w:rPr>
          <w:rStyle w:val="46"/>
          <w:rFonts w:hint="default" w:ascii="仿宋" w:hAnsi="仿宋" w:eastAsia="仿宋" w:cs="Mongolian Baiti"/>
          <w:highlight w:val="none"/>
        </w:rPr>
        <w:t>③</w:t>
      </w:r>
      <w:r>
        <w:rPr>
          <w:rStyle w:val="46"/>
          <w:rFonts w:hint="default" w:hAnsi="Mongolian Baiti" w:cs="Mongolian Baiti"/>
          <w:highlight w:val="none"/>
        </w:rPr>
        <w:t>项目开、完工以及验收情况</w:t>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根据提供的开工令、项目合同以及验收等资料，项目开工、完工以及验收情况如下</w:t>
      </w:r>
      <w:r>
        <w:rPr>
          <w:rStyle w:val="46"/>
          <w:rFonts w:hint="eastAsia" w:hAnsi="Mongolian Baiti" w:eastAsia="仿宋_GB2312" w:cs="Mongolian Baiti"/>
          <w:highlight w:val="none"/>
          <w:lang w:val="en-US" w:eastAsia="zh-CN"/>
        </w:rPr>
        <w:t>表</w:t>
      </w:r>
      <w:r>
        <w:rPr>
          <w:rStyle w:val="46"/>
          <w:rFonts w:hint="default" w:hAnsi="Mongolian Baiti" w:cs="Mongolian Baiti"/>
          <w:highlight w:val="none"/>
        </w:rPr>
        <w:t>：</w:t>
      </w:r>
    </w:p>
    <w:p>
      <w:pPr>
        <w:pStyle w:val="2"/>
        <w:rPr>
          <w:highlight w:val="none"/>
        </w:rPr>
      </w:pPr>
      <w:r>
        <w:drawing>
          <wp:inline distT="0" distB="0" distL="114300" distR="114300">
            <wp:extent cx="5681980" cy="206375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681980" cy="2063750"/>
                    </a:xfrm>
                    <a:prstGeom prst="rect">
                      <a:avLst/>
                    </a:prstGeom>
                    <a:noFill/>
                    <a:ln>
                      <a:noFill/>
                    </a:ln>
                  </pic:spPr>
                </pic:pic>
              </a:graphicData>
            </a:graphic>
          </wp:inline>
        </w:drawing>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3.经费来源和使用情况</w:t>
      </w:r>
      <w:bookmarkEnd w:id="8"/>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（1）收入情况</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项目整体收入情况：</w:t>
      </w:r>
      <w:r>
        <w:rPr>
          <w:rStyle w:val="46"/>
          <w:rFonts w:hint="default" w:hAnsi="Mongolian Baiti" w:cs="Mongolian Baiti"/>
          <w:highlight w:val="none"/>
        </w:rPr>
        <w:t>项目概算总投资金额4,546.00万元，到位资金3,827.00万元，其中：中央资金2,813.00万元、省级资金1,000.00万元、县级资金14.00万元，资金到位率84.18%；</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本次绩效评价资金收入情况：</w:t>
      </w:r>
      <w:r>
        <w:rPr>
          <w:rStyle w:val="46"/>
          <w:rFonts w:hint="default" w:hAnsi="Mongolian Baiti" w:cs="Mongolian Baiti"/>
          <w:highlight w:val="none"/>
        </w:rPr>
        <w:t>截止2021年12月31日，项目到位资金2,100.00万元，其中：中央资金1,100.00万元、省级资金1,000.00万元。</w:t>
      </w:r>
    </w:p>
    <w:p>
      <w:pPr>
        <w:spacing w:line="360" w:lineRule="auto"/>
        <w:ind w:firstLine="562" w:firstLineChars="200"/>
        <w:jc w:val="center"/>
        <w:rPr>
          <w:rStyle w:val="46"/>
          <w:rFonts w:hint="default" w:hAnsi="Mongolian Baiti" w:cs="Mongolian Baiti"/>
          <w:b/>
          <w:sz w:val="28"/>
          <w:szCs w:val="28"/>
          <w:highlight w:val="none"/>
        </w:rPr>
      </w:pPr>
      <w:r>
        <w:rPr>
          <w:rStyle w:val="46"/>
          <w:rFonts w:hint="default" w:hAnsi="Mongolian Baiti" w:cs="Mongolian Baiti"/>
          <w:b/>
          <w:sz w:val="28"/>
          <w:szCs w:val="28"/>
          <w:highlight w:val="none"/>
        </w:rPr>
        <w:t>项目资金收入明细表</w:t>
      </w:r>
    </w:p>
    <w:p>
      <w:pPr>
        <w:spacing w:line="360" w:lineRule="auto"/>
        <w:ind w:firstLine="562" w:firstLineChars="200"/>
        <w:jc w:val="center"/>
        <w:rPr>
          <w:rStyle w:val="46"/>
          <w:rFonts w:hint="default" w:hAnsi="Mongolian Baiti" w:cs="Mongolian Baiti"/>
          <w:b/>
          <w:sz w:val="28"/>
          <w:szCs w:val="28"/>
          <w:highlight w:val="none"/>
        </w:rPr>
      </w:pPr>
      <w:r>
        <w:rPr>
          <w:rStyle w:val="46"/>
          <w:rFonts w:hint="default" w:hAnsi="Mongolian Baiti" w:cs="Mongolian Baiti"/>
          <w:b/>
          <w:sz w:val="28"/>
          <w:szCs w:val="28"/>
          <w:highlight w:val="none"/>
        </w:rPr>
        <w:t xml:space="preserve">                                            金额单位：元</w:t>
      </w:r>
    </w:p>
    <w:p>
      <w:pPr>
        <w:spacing w:line="360" w:lineRule="auto"/>
        <w:rPr>
          <w:rStyle w:val="46"/>
          <w:rFonts w:hint="default" w:hAnsi="Mongolian Baiti" w:cs="Mongolian Baiti"/>
          <w:highlight w:val="none"/>
        </w:rPr>
      </w:pPr>
      <w:r>
        <w:rPr>
          <w:highlight w:val="none"/>
        </w:rPr>
        <w:drawing>
          <wp:inline distT="0" distB="0" distL="114300" distR="114300">
            <wp:extent cx="5683885" cy="2337435"/>
            <wp:effectExtent l="0" t="0" r="5715" b="1206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4"/>
                    <a:stretch>
                      <a:fillRect/>
                    </a:stretch>
                  </pic:blipFill>
                  <pic:spPr>
                    <a:xfrm>
                      <a:off x="0" y="0"/>
                      <a:ext cx="5683885" cy="2337435"/>
                    </a:xfrm>
                    <a:prstGeom prst="rect">
                      <a:avLst/>
                    </a:prstGeom>
                    <a:noFill/>
                    <a:ln>
                      <a:noFill/>
                    </a:ln>
                  </pic:spPr>
                </pic:pic>
              </a:graphicData>
            </a:graphic>
          </wp:inline>
        </w:drawing>
      </w:r>
    </w:p>
    <w:p>
      <w:pPr>
        <w:spacing w:line="360" w:lineRule="auto"/>
        <w:ind w:firstLine="640" w:firstLineChars="200"/>
        <w:jc w:val="left"/>
        <w:rPr>
          <w:rStyle w:val="46"/>
          <w:rFonts w:hint="default" w:hAnsi="Mongolian Baiti" w:cs="Mongolian Baiti"/>
          <w:highlight w:val="none"/>
        </w:rPr>
      </w:pPr>
      <w:r>
        <w:rPr>
          <w:rStyle w:val="46"/>
          <w:rFonts w:hint="default" w:hAnsi="Mongolian Baiti" w:cs="Mongolian Baiti"/>
          <w:highlight w:val="none"/>
        </w:rPr>
        <w:t>（2）支出情况</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项目整体支出情况：</w:t>
      </w:r>
      <w:r>
        <w:rPr>
          <w:rStyle w:val="46"/>
          <w:rFonts w:hint="default" w:hAnsi="Mongolian Baiti" w:cs="Mongolian Baiti"/>
          <w:highlight w:val="none"/>
        </w:rPr>
        <w:t>截止2021年12月31日，项目共支出资金3,231.70万元，其中：建筑安装工程投资2,720.51万元、待摊投资142.08万元、其他投资358.00万元、其他项目资金支出11.11万元；</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本次绩效评价资金支出情况：</w:t>
      </w:r>
      <w:r>
        <w:rPr>
          <w:rStyle w:val="46"/>
          <w:rFonts w:hint="default" w:hAnsi="Mongolian Baiti" w:cs="Mongolian Baiti"/>
          <w:highlight w:val="none"/>
        </w:rPr>
        <w:t>截止2021年12月31日，项目共支出资金1,519.26万元，其中：建筑安装工程投资1,438.31万元、待摊投资69.84万元、其他项目资金支出11.11万元。</w:t>
      </w:r>
    </w:p>
    <w:p>
      <w:pPr>
        <w:spacing w:line="360" w:lineRule="auto"/>
        <w:ind w:firstLine="562" w:firstLineChars="200"/>
        <w:jc w:val="center"/>
        <w:rPr>
          <w:rStyle w:val="46"/>
          <w:rFonts w:hint="default" w:hAnsi="Mongolian Baiti" w:cs="Mongolian Baiti"/>
          <w:b/>
          <w:sz w:val="28"/>
          <w:szCs w:val="28"/>
          <w:highlight w:val="none"/>
        </w:rPr>
      </w:pPr>
      <w:r>
        <w:rPr>
          <w:rStyle w:val="46"/>
          <w:rFonts w:hint="default" w:hAnsi="Mongolian Baiti" w:cs="Mongolian Baiti"/>
          <w:b/>
          <w:sz w:val="28"/>
          <w:szCs w:val="28"/>
          <w:highlight w:val="none"/>
        </w:rPr>
        <w:t>项目资金支出明细表</w:t>
      </w:r>
    </w:p>
    <w:p>
      <w:pPr>
        <w:spacing w:line="360" w:lineRule="auto"/>
        <w:ind w:firstLine="562" w:firstLineChars="200"/>
        <w:jc w:val="center"/>
        <w:rPr>
          <w:rStyle w:val="46"/>
          <w:rFonts w:hint="default" w:hAnsi="Mongolian Baiti" w:cs="Mongolian Baiti"/>
          <w:b/>
          <w:sz w:val="28"/>
          <w:szCs w:val="28"/>
          <w:highlight w:val="none"/>
        </w:rPr>
      </w:pPr>
      <w:r>
        <w:rPr>
          <w:rStyle w:val="46"/>
          <w:rFonts w:hint="default" w:hAnsi="Mongolian Baiti" w:cs="Mongolian Baiti"/>
          <w:b/>
          <w:sz w:val="28"/>
          <w:szCs w:val="28"/>
          <w:highlight w:val="none"/>
        </w:rPr>
        <w:t xml:space="preserve">                                            金额单位：元</w:t>
      </w:r>
    </w:p>
    <w:p>
      <w:pPr>
        <w:pStyle w:val="2"/>
        <w:rPr>
          <w:rFonts w:hint="default"/>
          <w:highlight w:val="none"/>
        </w:rPr>
      </w:pPr>
      <w:r>
        <w:rPr>
          <w:highlight w:val="none"/>
        </w:rPr>
        <w:drawing>
          <wp:inline distT="0" distB="0" distL="114300" distR="114300">
            <wp:extent cx="5678805" cy="1010920"/>
            <wp:effectExtent l="0" t="0" r="10795"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5"/>
                    <a:stretch>
                      <a:fillRect/>
                    </a:stretch>
                  </pic:blipFill>
                  <pic:spPr>
                    <a:xfrm>
                      <a:off x="0" y="0"/>
                      <a:ext cx="5678805" cy="1010920"/>
                    </a:xfrm>
                    <a:prstGeom prst="rect">
                      <a:avLst/>
                    </a:prstGeom>
                    <a:noFill/>
                    <a:ln>
                      <a:noFill/>
                    </a:ln>
                  </pic:spPr>
                </pic:pic>
              </a:graphicData>
            </a:graphic>
          </wp:inline>
        </w:drawing>
      </w:r>
    </w:p>
    <w:p>
      <w:pPr>
        <w:spacing w:line="360" w:lineRule="auto"/>
        <w:rPr>
          <w:rStyle w:val="46"/>
          <w:rFonts w:hint="default" w:hAnsi="Mongolian Baiti" w:cs="Mongolian Baiti"/>
          <w:highlight w:val="none"/>
        </w:rPr>
      </w:pPr>
      <w:r>
        <w:rPr>
          <w:highlight w:val="none"/>
        </w:rPr>
        <w:drawing>
          <wp:inline distT="0" distB="0" distL="114300" distR="114300">
            <wp:extent cx="5678805" cy="5412740"/>
            <wp:effectExtent l="0" t="0" r="10795" b="1016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5678805" cy="5412740"/>
                    </a:xfrm>
                    <a:prstGeom prst="rect">
                      <a:avLst/>
                    </a:prstGeom>
                    <a:noFill/>
                    <a:ln>
                      <a:noFill/>
                    </a:ln>
                  </pic:spPr>
                </pic:pic>
              </a:graphicData>
            </a:graphic>
          </wp:inline>
        </w:drawing>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（3）资金结余情况</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项目整体结余情况：</w:t>
      </w:r>
      <w:r>
        <w:rPr>
          <w:rStyle w:val="46"/>
          <w:rFonts w:hint="default" w:hAnsi="Mongolian Baiti" w:cs="Mongolian Baiti"/>
          <w:highlight w:val="none"/>
        </w:rPr>
        <w:t>项目到位资金3,827.00万元，共支出资金3,231.70万元</w:t>
      </w:r>
      <w:r>
        <w:rPr>
          <w:rStyle w:val="46"/>
          <w:rFonts w:hint="default" w:hAnsi="Mongolian Baiti" w:cs="Mongolian Baiti"/>
          <w:color w:val="auto"/>
          <w:highlight w:val="none"/>
        </w:rPr>
        <w:t>（</w:t>
      </w:r>
      <w:r>
        <w:rPr>
          <w:rStyle w:val="46"/>
          <w:rFonts w:hint="eastAsia" w:hAnsi="Mongolian Baiti" w:eastAsia="仿宋_GB2312" w:cs="Mongolian Baiti"/>
          <w:color w:val="auto"/>
          <w:highlight w:val="none"/>
          <w:lang w:val="en-US" w:eastAsia="zh-CN"/>
        </w:rPr>
        <w:t>使用</w:t>
      </w:r>
      <w:r>
        <w:rPr>
          <w:rStyle w:val="46"/>
          <w:rFonts w:hint="default" w:hAnsi="Mongolian Baiti" w:cs="Mongolian Baiti"/>
          <w:color w:val="auto"/>
          <w:highlight w:val="none"/>
        </w:rPr>
        <w:t>其他项目资金</w:t>
      </w:r>
      <w:r>
        <w:rPr>
          <w:rStyle w:val="46"/>
          <w:rFonts w:hint="eastAsia" w:hAnsi="Mongolian Baiti" w:eastAsia="仿宋_GB2312" w:cs="Mongolian Baiti"/>
          <w:color w:val="auto"/>
          <w:highlight w:val="none"/>
          <w:lang w:val="en-US" w:eastAsia="zh-CN"/>
        </w:rPr>
        <w:t>支付</w:t>
      </w:r>
      <w:r>
        <w:rPr>
          <w:rStyle w:val="46"/>
          <w:rFonts w:hint="default" w:hAnsi="Mongolian Baiti" w:cs="Mongolian Baiti"/>
          <w:color w:val="auto"/>
          <w:highlight w:val="none"/>
        </w:rPr>
        <w:t>3.39万元），</w:t>
      </w:r>
      <w:r>
        <w:rPr>
          <w:rStyle w:val="46"/>
          <w:rFonts w:hint="default" w:hAnsi="Mongolian Baiti" w:cs="Mongolian Baiti"/>
          <w:highlight w:val="none"/>
        </w:rPr>
        <w:t>结余资金598.69万元，资金结余率15.64%，截止2021年12月31日结余资金已收回；</w:t>
      </w:r>
    </w:p>
    <w:p>
      <w:pPr>
        <w:spacing w:line="360" w:lineRule="auto"/>
        <w:ind w:firstLine="643" w:firstLineChars="200"/>
        <w:rPr>
          <w:rStyle w:val="46"/>
          <w:rFonts w:hint="default" w:hAnsi="Mongolian Baiti" w:cs="Mongolian Baiti"/>
          <w:highlight w:val="none"/>
        </w:rPr>
      </w:pPr>
      <w:r>
        <w:rPr>
          <w:rStyle w:val="46"/>
          <w:rFonts w:hint="default" w:hAnsi="Mongolian Baiti" w:cs="Mongolian Baiti"/>
          <w:b/>
          <w:highlight w:val="none"/>
        </w:rPr>
        <w:t>本次绩效评价资金结余情况：</w:t>
      </w:r>
      <w:r>
        <w:rPr>
          <w:rStyle w:val="46"/>
          <w:rFonts w:hint="default" w:hAnsi="Mongolian Baiti" w:cs="Mongolian Baiti"/>
          <w:highlight w:val="none"/>
        </w:rPr>
        <w:t>项目到位资金2,100.00万元，共支出资金1,519.26万元，结余资金580.74万元，资金结余率27.65%，截止2021年12月31日结余资金已收回。</w:t>
      </w:r>
    </w:p>
    <w:p>
      <w:pPr>
        <w:pStyle w:val="5"/>
        <w:spacing w:before="0" w:after="0" w:line="360" w:lineRule="auto"/>
        <w:ind w:firstLine="643" w:firstLineChars="200"/>
        <w:rPr>
          <w:highlight w:val="none"/>
          <w:lang w:val="zh-CN"/>
        </w:rPr>
      </w:pPr>
      <w:bookmarkStart w:id="9" w:name="_Toc27144"/>
      <w:r>
        <w:rPr>
          <w:rFonts w:hint="eastAsia"/>
          <w:highlight w:val="none"/>
        </w:rPr>
        <w:t>（</w:t>
      </w:r>
      <w:r>
        <w:rPr>
          <w:rFonts w:hint="eastAsia"/>
          <w:highlight w:val="none"/>
          <w:lang w:val="en-US" w:eastAsia="zh-CN"/>
        </w:rPr>
        <w:t>三</w:t>
      </w:r>
      <w:r>
        <w:rPr>
          <w:rFonts w:hint="eastAsia"/>
          <w:highlight w:val="none"/>
        </w:rPr>
        <w:t>）项目绩效目标</w:t>
      </w:r>
      <w:bookmarkEnd w:id="9"/>
    </w:p>
    <w:p>
      <w:pPr>
        <w:ind w:firstLine="640" w:firstLineChars="200"/>
        <w:rPr>
          <w:rStyle w:val="46"/>
          <w:rFonts w:hint="default" w:hAnsi="Mongolian Baiti" w:cs="Mongolian Baiti"/>
          <w:highlight w:val="none"/>
        </w:rPr>
      </w:pPr>
      <w:r>
        <w:rPr>
          <w:rStyle w:val="46"/>
          <w:rFonts w:hint="default" w:hAnsi="Mongolian Baiti" w:cs="Mongolian Baiti"/>
          <w:highlight w:val="none"/>
        </w:rPr>
        <w:t>根据中国共产党勐海县委员会组织部填报的《绩效目标申报表》，本项目总体目标为：通过扶持村级集体经济发展，进一步改善经济收入单一问题，使村民经济收入稳定持续增长，改善农村人居环境，夯实美丽宜居乡村基础设施建设。项目设定了绩效指标，但部分指标设定与实际情况不相符，项目根据批准实施资料以及实施情况，归纳绩效指标为：</w:t>
      </w:r>
    </w:p>
    <w:p>
      <w:pPr>
        <w:rPr>
          <w:highlight w:val="none"/>
        </w:rPr>
      </w:pPr>
      <w:r>
        <w:rPr>
          <w:highlight w:val="none"/>
        </w:rPr>
        <w:drawing>
          <wp:inline distT="0" distB="0" distL="114300" distR="114300">
            <wp:extent cx="5685155" cy="5804535"/>
            <wp:effectExtent l="0" t="0" r="4445" b="1206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7"/>
                    <a:stretch>
                      <a:fillRect/>
                    </a:stretch>
                  </pic:blipFill>
                  <pic:spPr>
                    <a:xfrm>
                      <a:off x="0" y="0"/>
                      <a:ext cx="5685155" cy="5804535"/>
                    </a:xfrm>
                    <a:prstGeom prst="rect">
                      <a:avLst/>
                    </a:prstGeom>
                    <a:noFill/>
                    <a:ln>
                      <a:noFill/>
                    </a:ln>
                  </pic:spPr>
                </pic:pic>
              </a:graphicData>
            </a:graphic>
          </wp:inline>
        </w:drawing>
      </w:r>
    </w:p>
    <w:p>
      <w:pPr>
        <w:rPr>
          <w:rStyle w:val="46"/>
          <w:rFonts w:hint="default" w:hAnsi="Mongolian Baiti" w:cs="Mongolian Baiti"/>
          <w:color w:val="FF0000"/>
          <w:highlight w:val="none"/>
        </w:rPr>
      </w:pPr>
      <w:r>
        <w:drawing>
          <wp:inline distT="0" distB="0" distL="114300" distR="114300">
            <wp:extent cx="5685155" cy="3239135"/>
            <wp:effectExtent l="0" t="0" r="4445" b="1206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18"/>
                    <a:stretch>
                      <a:fillRect/>
                    </a:stretch>
                  </pic:blipFill>
                  <pic:spPr>
                    <a:xfrm>
                      <a:off x="0" y="0"/>
                      <a:ext cx="5685155" cy="3239135"/>
                    </a:xfrm>
                    <a:prstGeom prst="rect">
                      <a:avLst/>
                    </a:prstGeom>
                    <a:noFill/>
                    <a:ln>
                      <a:noFill/>
                    </a:ln>
                  </pic:spPr>
                </pic:pic>
              </a:graphicData>
            </a:graphic>
          </wp:inline>
        </w:drawing>
      </w:r>
    </w:p>
    <w:p>
      <w:pPr>
        <w:pStyle w:val="4"/>
        <w:spacing w:before="0" w:after="0" w:line="360" w:lineRule="auto"/>
        <w:ind w:firstLine="640" w:firstLineChars="200"/>
        <w:rPr>
          <w:highlight w:val="none"/>
        </w:rPr>
      </w:pPr>
      <w:bookmarkStart w:id="10" w:name="_Toc12995"/>
      <w:bookmarkStart w:id="11" w:name="_Toc4443"/>
      <w:r>
        <w:rPr>
          <w:rFonts w:hint="eastAsia"/>
          <w:highlight w:val="none"/>
        </w:rPr>
        <w:t>二、绩效评价工作情况</w:t>
      </w:r>
      <w:bookmarkEnd w:id="10"/>
      <w:bookmarkEnd w:id="11"/>
    </w:p>
    <w:p>
      <w:pPr>
        <w:spacing w:line="360" w:lineRule="auto"/>
        <w:ind w:firstLine="643" w:firstLineChars="200"/>
        <w:outlineLvl w:val="1"/>
        <w:rPr>
          <w:rFonts w:ascii="仿宋_GB2312" w:hAnsi="方正楷体_GBK" w:eastAsia="仿宋_GB2312" w:cs="方正楷体_GBK"/>
          <w:b/>
          <w:bCs/>
          <w:sz w:val="32"/>
          <w:szCs w:val="32"/>
          <w:highlight w:val="none"/>
          <w:lang w:val="zh-CN"/>
        </w:rPr>
      </w:pPr>
      <w:bookmarkStart w:id="12" w:name="_Toc17822"/>
      <w:r>
        <w:rPr>
          <w:rFonts w:hint="eastAsia" w:ascii="楷体_GB2312" w:eastAsia="楷体_GB2312"/>
          <w:b/>
          <w:bCs/>
          <w:color w:val="000000"/>
          <w:sz w:val="32"/>
          <w:szCs w:val="32"/>
          <w:highlight w:val="none"/>
        </w:rPr>
        <w:t>（一）绩效评价目的</w:t>
      </w:r>
      <w:bookmarkEnd w:id="12"/>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绩效评价从项目决策、过程、产出、效果及资料提供情况5个方面了解掌握</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color w:val="auto"/>
          <w:highlight w:val="none"/>
        </w:rPr>
        <w:t>边疆党建长廊</w:t>
      </w:r>
      <w:r>
        <w:rPr>
          <w:rStyle w:val="46"/>
          <w:rFonts w:hint="eastAsia" w:hAnsi="Mongolian Baiti" w:eastAsia="仿宋_GB2312" w:cs="Mongolian Baiti"/>
          <w:color w:val="auto"/>
          <w:highlight w:val="none"/>
          <w:lang w:eastAsia="zh-CN"/>
        </w:rPr>
        <w:t>“</w:t>
      </w:r>
      <w:r>
        <w:rPr>
          <w:rStyle w:val="46"/>
          <w:rFonts w:hint="default" w:hAnsi="Mongolian Baiti" w:cs="Mongolian Baiti"/>
          <w:color w:val="auto"/>
          <w:highlight w:val="none"/>
        </w:rPr>
        <w:t>四位一体</w:t>
      </w:r>
      <w:r>
        <w:rPr>
          <w:rStyle w:val="46"/>
          <w:rFonts w:hint="eastAsia" w:hAnsi="Mongolian Baiti" w:eastAsia="仿宋_GB2312" w:cs="Mongolian Baiti"/>
          <w:color w:val="auto"/>
          <w:highlight w:val="none"/>
          <w:lang w:eastAsia="zh-CN"/>
        </w:rPr>
        <w:t>”</w:t>
      </w:r>
      <w:r>
        <w:rPr>
          <w:rStyle w:val="46"/>
          <w:rFonts w:hint="default" w:hAnsi="Mongolian Baiti" w:cs="Mongolian Baiti"/>
          <w:color w:val="auto"/>
          <w:highlight w:val="none"/>
        </w:rPr>
        <w:t>建设试点项目在资金使用</w:t>
      </w:r>
      <w:r>
        <w:rPr>
          <w:rStyle w:val="46"/>
          <w:rFonts w:hint="default" w:hAnsi="Mongolian Baiti" w:cs="Mongolian Baiti"/>
          <w:highlight w:val="none"/>
        </w:rPr>
        <w:t>、项目管理、实施完成、取得成效及制度建设等方面的情况；发现项目实施存在的问题，提出改进的意见和建议，促进相关单位及部门进一步完善项目决策程序、加强管理、强化监督、创新机制、保证项目资金使用管理的规范性、安全性和有效性；为指导预算编制，优化财政支出结构，提高公共服务水平提供决策依据。</w:t>
      </w:r>
    </w:p>
    <w:p>
      <w:pPr>
        <w:pStyle w:val="5"/>
        <w:numPr>
          <w:ilvl w:val="0"/>
          <w:numId w:val="1"/>
        </w:numPr>
        <w:spacing w:before="0" w:after="0" w:line="360" w:lineRule="auto"/>
        <w:ind w:firstLine="643" w:firstLineChars="200"/>
        <w:rPr>
          <w:rFonts w:ascii="楷体_GB2312" w:hAnsi="华文楷体" w:eastAsia="楷体_GB2312" w:cs="Times New Roman"/>
          <w:color w:val="000000"/>
          <w:highlight w:val="none"/>
        </w:rPr>
      </w:pPr>
      <w:bookmarkStart w:id="13" w:name="_Toc10835"/>
      <w:r>
        <w:rPr>
          <w:rFonts w:hint="eastAsia" w:ascii="楷体_GB2312" w:hAnsi="华文楷体" w:eastAsia="楷体_GB2312" w:cs="Times New Roman"/>
          <w:color w:val="000000"/>
          <w:highlight w:val="none"/>
        </w:rPr>
        <w:t>绩效评价设计过程</w:t>
      </w:r>
      <w:bookmarkEnd w:id="13"/>
    </w:p>
    <w:p>
      <w:pPr>
        <w:spacing w:line="360" w:lineRule="auto"/>
        <w:ind w:firstLine="640" w:firstLineChars="200"/>
        <w:rPr>
          <w:rStyle w:val="46"/>
          <w:rFonts w:hint="default" w:hAnsi="Mongolian Baiti" w:cs="Mongolian Baiti"/>
          <w:highlight w:val="none"/>
          <w:lang w:val="zh-CN"/>
        </w:rPr>
      </w:pPr>
      <w:r>
        <w:rPr>
          <w:rStyle w:val="46"/>
          <w:rFonts w:hint="default" w:hAnsi="Mongolian Baiti" w:cs="Mongolian Baiti"/>
          <w:highlight w:val="none"/>
          <w:lang w:val="zh-CN"/>
        </w:rPr>
        <w:t>为了确保本次绩效评价按时、按质、按量完成，绩效评价小组将本次绩效评价分为前期准备、评价实施、评价报告三个阶段实施，具体如下：</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1.前期准备</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（1）根据评价项目确定评价组组成人员及项目负责人，学习有关财政支出绩效评价的法规文件；</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（2）到项目主管单位了解项目概况、进行项目评价前调查。根据了解的单位概况和收集到的主要资料，与项目承担单位沟通，制定项目绩效评价实施方案，评价指标体系及评分标准，并报县财政局批准。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 xml:space="preserve">2.实施阶段 </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（1）查阅、复核被评价单位报送的绩效评价资料，汇总、分析相关数据。</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（2）对项目进行实地查验，发放调查问卷等，核实项目实际建设完成情况及取得的效果。</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（3）根据对项目资料及项目现场的核实，从项目决策、过程、产出、效果及资料提供情况5个方面进行评价分析，结合项目资料报送情况完成项目现场评价工作及绩效指标评分。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3.报告撰写和提交</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（1）汇总、分析相关评价情况及数据，总结项目实施情况及效果，找出项目实施存在的问题，并提出相应的建议，形成绩效评价报告征求意见稿，提交被评价单位核实确认，并提交委托单位审核。</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（2）根据审核意见和回复意见，对报告进行修改完善，提交绩效评价正式报告。</w:t>
      </w:r>
    </w:p>
    <w:p>
      <w:pPr>
        <w:pStyle w:val="5"/>
        <w:spacing w:before="0" w:after="0" w:line="360" w:lineRule="auto"/>
        <w:ind w:firstLine="643" w:firstLineChars="200"/>
        <w:rPr>
          <w:rFonts w:ascii="楷体_GB2312" w:hAnsi="华文楷体" w:eastAsia="楷体_GB2312" w:cs="Times New Roman"/>
          <w:color w:val="000000"/>
          <w:highlight w:val="none"/>
        </w:rPr>
      </w:pPr>
      <w:bookmarkStart w:id="14" w:name="_Toc14103"/>
      <w:r>
        <w:rPr>
          <w:rFonts w:hint="eastAsia" w:ascii="楷体_GB2312" w:hAnsi="华文楷体" w:eastAsia="楷体_GB2312" w:cs="Times New Roman"/>
          <w:color w:val="000000"/>
          <w:highlight w:val="none"/>
        </w:rPr>
        <w:t>（三）绩效评价原则、评价指标体系、绩效标准和评价方法</w:t>
      </w:r>
      <w:bookmarkEnd w:id="14"/>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1.绩效评价原则</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绩效评价工作遵循科学公正、统筹兼顾、激励约束、公开透明的原则。</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2.评价指标体系</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（1）指标体系制定原则</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本次评价指标体系制定遵循：相关性原则、重要性原则、可比性原则、经济性原则、系统性原则。</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（2）评价指标体系</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的评价指标分为四级，满分100分。包括决策、过程、产出、效果以及资料报送考核指标5项一级指标，权重分别为:15%、20%、40%、20%、5%。在此基础上将其分为12项二级指标、23项三级指标、72项四级指标，对项目决策（项目立项、绩效目标、资金投入）、过程（资金管理、组织实施、绩效管理）、产出（产出数量、产出质量、产出时效、产出成本）、效果（项目效益）以及资料提供情况等方面进行评价。（详见《绩效评价指标及评分表》）</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3.绩效标准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 xml:space="preserve">（1）计划标准 </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以预先制定的目标、计划、预算、定额等作为评价的标准。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（2）历史标准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参照历史数据制定的评价标准，为体现绩效改进的原则，在可实现的条件下应当确定相对较高的评价标准。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（3）行业标准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参照国家公布的行业指标数据制定的评价标准。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（4）财政部门和预算部门确认或认可的其他标准。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4.评价方法</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绩效评价方法包括：成本效益分析法、比较法、因素分析法、最低成本法、公众评判法、标杆管理法、其他评价方法。</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项目评价过程中，通过了解被评价单位对中国共产党勐海县委员会组织部</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highlight w:val="none"/>
        </w:rPr>
        <w:t>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建设试点项目的建设管理及资金使用情况，采取定量与定性相结合的方式，评价本项目绩效情况。</w:t>
      </w:r>
    </w:p>
    <w:p>
      <w:pPr>
        <w:pStyle w:val="5"/>
        <w:spacing w:before="0" w:after="0" w:line="360" w:lineRule="auto"/>
        <w:ind w:firstLine="643" w:firstLineChars="200"/>
        <w:rPr>
          <w:rFonts w:ascii="仿宋_GB2312" w:hAnsi="方正楷体_GBK" w:eastAsia="仿宋_GB2312" w:cs="方正楷体_GBK"/>
          <w:highlight w:val="none"/>
          <w:lang w:val="zh-CN"/>
        </w:rPr>
      </w:pPr>
      <w:bookmarkStart w:id="15" w:name="_Toc26647"/>
      <w:r>
        <w:rPr>
          <w:rFonts w:hint="eastAsia" w:ascii="楷体_GB2312" w:hAnsi="华文楷体" w:eastAsia="楷体_GB2312" w:cs="Times New Roman"/>
          <w:color w:val="000000"/>
          <w:highlight w:val="none"/>
        </w:rPr>
        <w:t>（四）证据收集方法</w:t>
      </w:r>
      <w:bookmarkEnd w:id="15"/>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结合项目实际情况，采用收集资料、检查记录或文件、对项目单位进行现场抽查、查看会计资料及原始凭证、对项目实施地进行现场勘察、对受益对象进行访谈并发放调查问卷等证据收集方法。</w:t>
      </w:r>
    </w:p>
    <w:p>
      <w:pPr>
        <w:pStyle w:val="5"/>
        <w:spacing w:before="0" w:after="0" w:line="360" w:lineRule="auto"/>
        <w:ind w:firstLine="643" w:firstLineChars="200"/>
        <w:rPr>
          <w:rFonts w:ascii="仿宋_GB2312" w:hAnsi="方正楷体_GBK" w:eastAsia="仿宋_GB2312" w:cs="方正楷体_GBK"/>
          <w:highlight w:val="none"/>
          <w:lang w:val="zh-CN"/>
        </w:rPr>
      </w:pPr>
      <w:bookmarkStart w:id="16" w:name="_Toc30561"/>
      <w:r>
        <w:rPr>
          <w:rFonts w:hint="eastAsia" w:ascii="楷体_GB2312" w:hAnsi="华文楷体" w:eastAsia="楷体_GB2312" w:cs="Times New Roman"/>
          <w:color w:val="000000"/>
          <w:highlight w:val="none"/>
        </w:rPr>
        <w:t>（五）绩效评价实施过程</w:t>
      </w:r>
      <w:bookmarkEnd w:id="16"/>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按照绩效评价设计过程实施绩效评价，由勐海县财政局负责绩效评价的组织管理，云南信立会计师事务所有限公司负责绩效评价的实施工作，中国共产党勐海县委员会组织部有关人员配合完成本次绩效评价工作。</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通过分析被评价单位报送的绩效评价资料，结合现场抽查、实地勘察和发放调查问卷等方式，从项目决策、项目过程管理、项目产出、项目效果效益等方面找出项目实施存在的问题，并提出相应的建议，为相关部门进一步完善该项目决策与管理制度、改进项目管理工作提供参考。</w:t>
      </w:r>
    </w:p>
    <w:p>
      <w:pPr>
        <w:pStyle w:val="5"/>
        <w:spacing w:before="0" w:after="0" w:line="360" w:lineRule="auto"/>
        <w:ind w:firstLine="643" w:firstLineChars="200"/>
        <w:rPr>
          <w:rFonts w:ascii="仿宋_GB2312" w:hAnsi="方正楷体_GBK" w:eastAsia="仿宋_GB2312" w:cs="方正楷体_GBK"/>
          <w:highlight w:val="none"/>
          <w:lang w:val="zh-CN"/>
        </w:rPr>
      </w:pPr>
      <w:bookmarkStart w:id="17" w:name="_Toc10771"/>
      <w:r>
        <w:rPr>
          <w:rFonts w:hint="eastAsia" w:ascii="楷体_GB2312" w:hAnsi="华文楷体" w:eastAsia="楷体_GB2312" w:cs="Times New Roman"/>
          <w:highlight w:val="none"/>
        </w:rPr>
        <w:t>（六）本次绩效评价的局限性</w:t>
      </w:r>
      <w:bookmarkEnd w:id="17"/>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1.由于</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highlight w:val="none"/>
        </w:rPr>
        <w:t>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建设试点项目未完成完工决算审计工作，项目实际完成工程量以及投资情况未能明确，因此，本次开展项目绩效评价时，不能将实际完成投资与概算投资进行比较，也无法对项目成本节约率进行准确评价。</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2.由于项目建设内容较为零星，涉及建设地点较多，本次项目实际完成情况仅根据单位提供资料进行确认。</w:t>
      </w:r>
    </w:p>
    <w:p>
      <w:pPr>
        <w:pStyle w:val="4"/>
        <w:spacing w:before="0" w:after="0" w:line="360" w:lineRule="auto"/>
        <w:ind w:firstLine="640" w:firstLineChars="200"/>
        <w:rPr>
          <w:rFonts w:ascii="黑体" w:hAnsi="黑体" w:cs="黑体"/>
          <w:bCs w:val="0"/>
          <w:szCs w:val="32"/>
          <w:highlight w:val="none"/>
          <w:lang w:val="zh-CN"/>
        </w:rPr>
      </w:pPr>
      <w:bookmarkStart w:id="18" w:name="_Toc22097"/>
      <w:bookmarkStart w:id="19" w:name="_Toc23041"/>
      <w:r>
        <w:rPr>
          <w:rFonts w:hint="eastAsia" w:ascii="黑体" w:hAnsi="黑体" w:cs="黑体"/>
          <w:bCs w:val="0"/>
          <w:color w:val="000000"/>
          <w:kern w:val="2"/>
          <w:szCs w:val="32"/>
          <w:highlight w:val="none"/>
        </w:rPr>
        <w:t>三、绩效分析及评价结论</w:t>
      </w:r>
      <w:bookmarkEnd w:id="18"/>
      <w:bookmarkEnd w:id="19"/>
    </w:p>
    <w:p>
      <w:pPr>
        <w:pStyle w:val="5"/>
        <w:spacing w:before="0" w:after="0" w:line="360" w:lineRule="auto"/>
        <w:ind w:firstLine="643" w:firstLineChars="200"/>
        <w:rPr>
          <w:rFonts w:ascii="仿宋_GB2312" w:hAnsi="方正楷体_GBK" w:eastAsia="仿宋_GB2312" w:cs="方正楷体_GBK"/>
          <w:highlight w:val="none"/>
          <w:lang w:val="zh-CN"/>
        </w:rPr>
      </w:pPr>
      <w:bookmarkStart w:id="20" w:name="_Toc29978"/>
      <w:r>
        <w:rPr>
          <w:rFonts w:hint="eastAsia" w:ascii="楷体_GB2312" w:hAnsi="华文楷体" w:eastAsia="楷体_GB2312" w:cs="Times New Roman"/>
          <w:color w:val="000000"/>
          <w:highlight w:val="none"/>
        </w:rPr>
        <w:t>（一）绩效分析</w:t>
      </w:r>
      <w:bookmarkEnd w:id="20"/>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1.决策情况分析</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项目决策情况包括项目立项、绩效目标和资金投入。</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（1）项目立项</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项目建设符合中共云南省委组织部 云南省财政厅 云南省农业农村厅《关于进一步抓好强边固防</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建设项目的通知》（云组通〔2021〕26号）等文件精神，对兴边富民、扶持壮大村级集体经济、开展人居环境整治、推进乡村振兴具有重大意义。</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项目根据勐海县人民政府《关于2019年打洛镇曼夕村、勐满镇关双村、布朗山乡曼囡村边疆党建长廊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建设试点项目实施方案的批复》（海政复〔2019〕244号）、勐海县人民政府《关于勐海县2020年勐满镇班到村、西定乡章朗村边疆党建长廊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建设试点项目实施方案的批复</w:t>
      </w:r>
      <w:r>
        <w:rPr>
          <w:rStyle w:val="46"/>
          <w:rFonts w:hint="default" w:hAnsi="Mongolian Baiti" w:cs="Mongolian Baiti"/>
          <w:sz w:val="36"/>
          <w:szCs w:val="28"/>
          <w:highlight w:val="none"/>
        </w:rPr>
        <w:t>》（</w:t>
      </w:r>
      <w:r>
        <w:rPr>
          <w:rStyle w:val="46"/>
          <w:rFonts w:hint="default" w:hAnsi="Mongolian Baiti" w:cs="Mongolian Baiti"/>
          <w:highlight w:val="none"/>
        </w:rPr>
        <w:t>海政复〔2020〕15号）、中共西双版纳州委组织部 西双版纳州财政局西双版纳 州农业农村局《关于对勐海县2021年强边固防</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建设项目实施方案的批复》（西组复﹝2021﹞46号）等文件批准建设，建设内容清晰、资金来源明确，项目立项依据充分合理。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（2）绩效目标</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根据提供的《绩效目标申报表》，项目年度总体目标符合实施方案的要求，目标任务清晰。归纳年度绩效目标为：通过扶持村级集体经济发展，进一步改善经济收入单一问题，使村民经济收入稳定持续增长；进一步提升农村人居环境，改善农村人居环境，夯实美丽宜居乡村基础设施建设。经核实，2019年</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项目绩效指标未按照项目实施内容申报，不能反映2019年</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项目绩效完成情况，本次绩效评价做了调整。</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（3）资金投入</w:t>
      </w:r>
    </w:p>
    <w:p>
      <w:pPr>
        <w:pStyle w:val="50"/>
        <w:ind w:firstLine="640" w:firstLineChars="200"/>
        <w:rPr>
          <w:rStyle w:val="46"/>
          <w:rFonts w:hint="default" w:hAnsi="Mongolian Baiti" w:cs="Mongolian Baiti"/>
          <w:highlight w:val="none"/>
        </w:rPr>
      </w:pPr>
      <w:r>
        <w:rPr>
          <w:rStyle w:val="46"/>
          <w:rFonts w:hint="default" w:hAnsi="Mongolian Baiti" w:cs="Mongolian Baiti"/>
          <w:highlight w:val="none"/>
        </w:rPr>
        <w:t>根据单位提供的项目批复文件资料等，项目概算总投资4,546.00万元（其中：2019年</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项目批复1,500.00万元，2020年</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项目批复1,046.00万元，2021年</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项目批复2,000.00万元），预算额度测算依据充分，项目预算资金与实际完成工作量相匹配，资金分配依据充分。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2.过程情况分析</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项目过程包括资金管理、组织实施及绩效管理情况。</w:t>
      </w:r>
    </w:p>
    <w:p>
      <w:pPr>
        <w:spacing w:line="360" w:lineRule="auto"/>
        <w:ind w:firstLine="640" w:firstLineChars="200"/>
        <w:rPr>
          <w:rStyle w:val="46"/>
          <w:rFonts w:hint="default" w:hAnsi="Mongolian Baiti" w:cs="Mongolian Baiti"/>
          <w:color w:val="auto"/>
          <w:highlight w:val="none"/>
        </w:rPr>
      </w:pPr>
      <w:r>
        <w:rPr>
          <w:rStyle w:val="46"/>
          <w:rFonts w:hint="default" w:hAnsi="Mongolian Baiti" w:cs="Mongolian Baiti"/>
          <w:color w:val="auto"/>
          <w:highlight w:val="none"/>
        </w:rPr>
        <w:t>（1）资金管理</w:t>
      </w:r>
    </w:p>
    <w:p>
      <w:pPr>
        <w:spacing w:line="360" w:lineRule="auto"/>
        <w:ind w:firstLine="640" w:firstLineChars="200"/>
        <w:rPr>
          <w:rStyle w:val="46"/>
          <w:rFonts w:hint="default" w:hAnsi="Mongolian Baiti" w:cs="Mongolian Baiti"/>
          <w:color w:val="auto"/>
          <w:highlight w:val="none"/>
        </w:rPr>
      </w:pPr>
      <w:r>
        <w:rPr>
          <w:rStyle w:val="46"/>
          <w:rFonts w:hint="default" w:hAnsi="Mongolian Baiti" w:cs="Mongolian Baiti"/>
          <w:color w:val="auto"/>
          <w:highlight w:val="none"/>
        </w:rPr>
        <w:t>截止2021年12月31日，项目共收到资金3,827.00万元，资金来源</w:t>
      </w:r>
      <w:r>
        <w:rPr>
          <w:rStyle w:val="46"/>
          <w:rFonts w:hint="eastAsia" w:hAnsi="Mongolian Baiti" w:eastAsia="仿宋_GB2312" w:cs="Mongolian Baiti"/>
          <w:color w:val="auto"/>
          <w:highlight w:val="none"/>
          <w:lang w:val="en-US" w:eastAsia="zh-CN"/>
        </w:rPr>
        <w:t>中央、省级及县级资金</w:t>
      </w:r>
      <w:r>
        <w:rPr>
          <w:rStyle w:val="46"/>
          <w:rFonts w:hAnsi="Mongolian Baiti" w:cs="Mongolian Baiti"/>
          <w:color w:val="auto"/>
          <w:highlight w:val="none"/>
        </w:rPr>
        <w:t>；</w:t>
      </w:r>
      <w:r>
        <w:rPr>
          <w:rStyle w:val="46"/>
          <w:rFonts w:hint="default" w:hAnsi="Mongolian Baiti" w:cs="Mongolian Baiti"/>
          <w:color w:val="auto"/>
          <w:highlight w:val="none"/>
        </w:rPr>
        <w:t>实际支付资金3,231.70万元（含</w:t>
      </w:r>
      <w:r>
        <w:rPr>
          <w:rStyle w:val="46"/>
          <w:rFonts w:hint="eastAsia" w:hAnsi="Mongolian Baiti" w:eastAsia="仿宋_GB2312" w:cs="Mongolian Baiti"/>
          <w:color w:val="auto"/>
          <w:highlight w:val="none"/>
          <w:lang w:val="en-US" w:eastAsia="zh-CN"/>
        </w:rPr>
        <w:t>使用</w:t>
      </w:r>
      <w:r>
        <w:rPr>
          <w:rStyle w:val="46"/>
          <w:rFonts w:hint="default" w:hAnsi="Mongolian Baiti" w:cs="Mongolian Baiti"/>
          <w:color w:val="auto"/>
          <w:highlight w:val="none"/>
        </w:rPr>
        <w:t>其他项目资金</w:t>
      </w:r>
      <w:r>
        <w:rPr>
          <w:rStyle w:val="46"/>
          <w:rFonts w:hint="eastAsia" w:hAnsi="Mongolian Baiti" w:eastAsia="仿宋_GB2312" w:cs="Mongolian Baiti"/>
          <w:color w:val="auto"/>
          <w:highlight w:val="none"/>
          <w:lang w:val="en-US" w:eastAsia="zh-CN"/>
        </w:rPr>
        <w:t>支付</w:t>
      </w:r>
      <w:r>
        <w:rPr>
          <w:rStyle w:val="46"/>
          <w:rFonts w:hint="default" w:hAnsi="Mongolian Baiti" w:cs="Mongolian Baiti"/>
          <w:color w:val="auto"/>
          <w:highlight w:val="none"/>
        </w:rPr>
        <w:t>3.39万元），其中：建筑安装工程投资2,720.51万元、待摊投资142.08万元、其他投资358.00万元、其他项目资金支出11.11万元，资金执行率84.36%。</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在项目建设过程中，中国共产党勐海县委员会组织部制定了《中共勐海县委组织部财务管理办法》、《中共勐海县委组织部内部控制制度》等制度对项目进行核算管理和财务监督，项目资金基本能够按照相关制度进行财务管理和核算。</w:t>
      </w:r>
    </w:p>
    <w:p>
      <w:pPr>
        <w:spacing w:line="360" w:lineRule="auto"/>
        <w:ind w:firstLine="640" w:firstLineChars="200"/>
        <w:rPr>
          <w:rStyle w:val="46"/>
          <w:rFonts w:hint="default" w:hAnsi="Mongolian Baiti" w:cs="Mongolian Baiti"/>
          <w:color w:val="FF0000"/>
          <w:highlight w:val="none"/>
        </w:rPr>
      </w:pPr>
      <w:r>
        <w:rPr>
          <w:rStyle w:val="46"/>
          <w:rFonts w:hint="default" w:hAnsi="Mongolian Baiti" w:cs="Mongolian Baiti"/>
          <w:highlight w:val="none"/>
        </w:rPr>
        <w:t>经抽查，资金使用履行了相应的审批支付程序，资金支付由承包人按照资金支付程序提出申请，经监理单位按合同约定审核并核定完成工作量后签发付款凭证，中国共产党勐海县委员会组织部进行审批后支付，资金支付程序合规，资金拨付程序完整。但经进一步核实，存在项目之间</w:t>
      </w:r>
      <w:r>
        <w:rPr>
          <w:rStyle w:val="46"/>
          <w:rFonts w:hint="eastAsia" w:hAnsi="Mongolian Baiti" w:eastAsia="仿宋_GB2312" w:cs="Mongolian Baiti"/>
          <w:highlight w:val="none"/>
          <w:lang w:val="en-US" w:eastAsia="zh-CN"/>
        </w:rPr>
        <w:t>调剂使用</w:t>
      </w:r>
      <w:r>
        <w:rPr>
          <w:rStyle w:val="46"/>
          <w:rFonts w:hint="default" w:hAnsi="Mongolian Baiti" w:cs="Mongolian Baiti"/>
          <w:highlight w:val="none"/>
        </w:rPr>
        <w:t>资金的情况。</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（2）组织实施</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中国共产党勐海县委员会组织部负责建设项目的牵头抓总、协调各方、会议召开、项目申报、方案编制、项目实施等工作。管理过程中，按照自行制定的《内部控制制度》以及《中华人民共和国建筑法》、《</w:t>
      </w:r>
      <w:r>
        <w:rPr>
          <w:rStyle w:val="46"/>
          <w:rFonts w:hint="eastAsia" w:hAnsi="Mongolian Baiti" w:eastAsia="仿宋_GB2312" w:cs="Mongolian Baiti"/>
          <w:highlight w:val="none"/>
          <w:lang w:eastAsia="zh-CN"/>
        </w:rPr>
        <w:t>中华人民共和国招标投标法</w:t>
      </w:r>
      <w:r>
        <w:rPr>
          <w:rStyle w:val="46"/>
          <w:rFonts w:hint="default" w:hAnsi="Mongolian Baiti" w:cs="Mongolian Baiti"/>
          <w:highlight w:val="none"/>
        </w:rPr>
        <w:t>》、《基本建设项目竣工财务决算管理暂行办法》等的规定开展了委托招标、合同签订、项目监督管理等工作，建设程序基本规范。同时，按照所制定的《中共勐海县委组织部</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三重一大</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集体决策制度》、《中共勐海县委组织部财务管理办法》等制度，采用</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坚持重大经费开支集体研究决定</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的方式进行资金支付，项目资金支付程序基本规范。但仍然存在项目管理人员更换频繁，资料移交程序执行不到位，档案资料提交不完整等的情况。</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（3）绩效管理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中国共产党勐海县委员会组织部已提供《项目支出绩效目标申报表》、《勐海县本级项目预算绩效跟踪表》、《项目支出绩效自评表》、《勐海县2019-2021年边疆党建长廊和强边固防</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项目实施进展情况报告》。但存在未按照《勐海县财政预关于项目支出绩效评价管理实施办法》（海财绩字〔2021〕2号）及《勐海县财政局印发勐海县县级预算绩效跟踪暂行办法的通知》（海财绩字〔2021〕31号）文件等要求建立绩效运行跟踪监控制度、未制定相关绩效考核办法等的情况，项目绩效管理不到位。</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3.产出情况分析</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项目产出包括产出数量、产出质量、产出时效、产出成本情况。</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（1）产出数量</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根据提供的2021年度《项目支出绩效目标申报表》、《项目支出绩效自评表》、项目实施方案及相关佐证资料，项目建设内容主要为对提升人居环境方面、扶持村级集体经济发展方面、</w:t>
      </w:r>
    </w:p>
    <w:p>
      <w:pPr>
        <w:spacing w:line="360" w:lineRule="auto"/>
        <w:rPr>
          <w:rStyle w:val="46"/>
          <w:rFonts w:hint="default" w:hAnsi="Mongolian Baiti" w:cs="Mongolian Baiti"/>
          <w:highlight w:val="none"/>
        </w:rPr>
      </w:pPr>
      <w:r>
        <w:rPr>
          <w:rStyle w:val="46"/>
          <w:rFonts w:hint="default" w:hAnsi="Mongolian Baiti" w:cs="Mongolian Baiti"/>
          <w:highlight w:val="none"/>
        </w:rPr>
        <w:t>建强基础组织方面以及提高治理水平方面等的建设工作，项目完成内容主要有：</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①完成</w:t>
      </w:r>
      <w:r>
        <w:rPr>
          <w:rStyle w:val="46"/>
          <w:rFonts w:hint="eastAsia" w:hAnsi="Mongolian Baiti" w:eastAsia="仿宋_GB2312" w:cs="Mongolian Baiti"/>
          <w:highlight w:val="none"/>
          <w:lang w:eastAsia="zh-CN"/>
        </w:rPr>
        <w:t>了</w:t>
      </w:r>
      <w:r>
        <w:rPr>
          <w:rStyle w:val="46"/>
          <w:rFonts w:hint="eastAsia" w:hAnsi="Mongolian Baiti" w:eastAsia="仿宋_GB2312" w:cs="Mongolian Baiti"/>
          <w:highlight w:val="none"/>
          <w:lang w:val="en-US" w:eastAsia="zh-CN"/>
        </w:rPr>
        <w:t>道路</w:t>
      </w:r>
      <w:r>
        <w:rPr>
          <w:rStyle w:val="46"/>
          <w:rFonts w:hint="default" w:hAnsi="Mongolian Baiti" w:cs="Mongolian Baiti"/>
          <w:highlight w:val="none"/>
        </w:rPr>
        <w:t>硬化9621.17m，衬砌排水沟6231.34m，硬化进村道路带排水沟790m，挡土墙建设113.7m；</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②</w:t>
      </w:r>
      <w:r>
        <w:rPr>
          <w:rStyle w:val="46"/>
          <w:rFonts w:hint="eastAsia" w:hAnsi="Mongolian Baiti" w:eastAsia="仿宋_GB2312" w:cs="Mongolian Baiti"/>
          <w:highlight w:val="none"/>
          <w:lang w:val="en-US" w:eastAsia="zh-CN"/>
        </w:rPr>
        <w:t>完成了</w:t>
      </w:r>
      <w:r>
        <w:rPr>
          <w:rStyle w:val="46"/>
          <w:rFonts w:hint="default" w:hAnsi="Mongolian Baiti" w:cs="Mongolian Baiti"/>
          <w:highlight w:val="none"/>
        </w:rPr>
        <w:t>6处集中养殖点</w:t>
      </w:r>
      <w:r>
        <w:rPr>
          <w:rStyle w:val="46"/>
          <w:rFonts w:hint="eastAsia" w:hAnsi="Mongolian Baiti" w:eastAsia="仿宋_GB2312" w:cs="Mongolian Baiti"/>
          <w:highlight w:val="none"/>
          <w:lang w:val="en-US" w:eastAsia="zh-CN"/>
        </w:rPr>
        <w:t>的建设</w:t>
      </w:r>
      <w:r>
        <w:rPr>
          <w:rStyle w:val="46"/>
          <w:rFonts w:hint="default" w:hAnsi="Mongolian Baiti" w:cs="Mongolian Baiti"/>
          <w:highlight w:val="none"/>
        </w:rPr>
        <w:t>；</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③</w:t>
      </w:r>
      <w:r>
        <w:rPr>
          <w:rStyle w:val="46"/>
          <w:rFonts w:hint="eastAsia" w:hAnsi="Mongolian Baiti" w:eastAsia="仿宋_GB2312" w:cs="Mongolian Baiti"/>
          <w:highlight w:val="none"/>
          <w:lang w:val="en-US" w:eastAsia="zh-CN"/>
        </w:rPr>
        <w:t>完成</w:t>
      </w:r>
      <w:r>
        <w:rPr>
          <w:rStyle w:val="46"/>
          <w:rFonts w:hint="default" w:hAnsi="Mongolian Baiti" w:cs="Mongolian Baiti"/>
          <w:highlight w:val="none"/>
        </w:rPr>
        <w:t>了2个垃圾填埋点</w:t>
      </w:r>
      <w:r>
        <w:rPr>
          <w:rStyle w:val="46"/>
          <w:rFonts w:hint="eastAsia" w:hAnsi="Mongolian Baiti" w:eastAsia="仿宋_GB2312" w:cs="Mongolian Baiti"/>
          <w:highlight w:val="none"/>
          <w:lang w:val="en-US" w:eastAsia="zh-CN"/>
        </w:rPr>
        <w:t>的修建</w:t>
      </w:r>
      <w:r>
        <w:rPr>
          <w:rStyle w:val="46"/>
          <w:rFonts w:hint="default" w:hAnsi="Mongolian Baiti" w:cs="Mongolian Baiti"/>
          <w:highlight w:val="none"/>
        </w:rPr>
        <w:t>，</w:t>
      </w:r>
      <w:r>
        <w:rPr>
          <w:rStyle w:val="46"/>
          <w:rFonts w:hint="eastAsia" w:hAnsi="Mongolian Baiti" w:eastAsia="仿宋_GB2312" w:cs="Mongolian Baiti"/>
          <w:highlight w:val="none"/>
          <w:lang w:val="en-US" w:eastAsia="zh-CN"/>
        </w:rPr>
        <w:t>并</w:t>
      </w:r>
      <w:r>
        <w:rPr>
          <w:rStyle w:val="46"/>
          <w:rFonts w:hint="default" w:hAnsi="Mongolian Baiti" w:cs="Mongolian Baiti"/>
          <w:highlight w:val="none"/>
        </w:rPr>
        <w:t>配备清运三轮摩托2辆；</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④完成了7个垃圾亭及6个洗手台建设；</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⑤完成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田园综合体建设；</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⑥完成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曼掌等5个村小组村内道路提升改造；</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⑦完成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30套茶叶初制所设备</w:t>
      </w:r>
      <w:r>
        <w:rPr>
          <w:rStyle w:val="46"/>
          <w:rFonts w:hint="eastAsia" w:hAnsi="Mongolian Baiti" w:eastAsia="仿宋_GB2312" w:cs="Mongolian Baiti"/>
          <w:highlight w:val="none"/>
          <w:lang w:val="en-US" w:eastAsia="zh-CN"/>
        </w:rPr>
        <w:t>的</w:t>
      </w:r>
      <w:r>
        <w:rPr>
          <w:rStyle w:val="46"/>
          <w:rFonts w:hint="default" w:hAnsi="Mongolian Baiti" w:cs="Mongolian Baiti"/>
          <w:highlight w:val="none"/>
        </w:rPr>
        <w:t>购置，</w:t>
      </w:r>
      <w:r>
        <w:rPr>
          <w:rStyle w:val="46"/>
          <w:rFonts w:hint="eastAsia" w:hAnsi="Mongolian Baiti" w:eastAsia="仿宋_GB2312" w:cs="Mongolian Baiti"/>
          <w:highlight w:val="none"/>
          <w:lang w:val="en-US" w:eastAsia="zh-CN"/>
        </w:rPr>
        <w:t>改</w:t>
      </w:r>
      <w:r>
        <w:rPr>
          <w:rStyle w:val="46"/>
          <w:rFonts w:hint="default" w:hAnsi="Mongolian Baiti" w:cs="Mongolian Baiti"/>
          <w:highlight w:val="none"/>
        </w:rPr>
        <w:t>造晒棚1005㎡、加工车间143㎡、萎凋区400㎡，新建仓库宿舍两用板房280㎡，新建茶叶初制所面积6000㎡</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并购置初制所一体化生产设备；</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⑧</w:t>
      </w:r>
      <w:r>
        <w:rPr>
          <w:rStyle w:val="46"/>
          <w:rFonts w:hint="eastAsia" w:hAnsi="Mongolian Baiti" w:eastAsia="仿宋_GB2312" w:cs="Mongolian Baiti"/>
          <w:highlight w:val="none"/>
          <w:lang w:val="en-US" w:eastAsia="zh-CN"/>
        </w:rPr>
        <w:t>完成了2套</w:t>
      </w:r>
      <w:r>
        <w:rPr>
          <w:rStyle w:val="46"/>
          <w:rFonts w:hint="default" w:hAnsi="Mongolian Baiti" w:cs="Mongolian Baiti"/>
          <w:highlight w:val="none"/>
        </w:rPr>
        <w:t>10kV高压变压器及附属设施</w:t>
      </w:r>
      <w:r>
        <w:rPr>
          <w:rStyle w:val="46"/>
          <w:rFonts w:hint="eastAsia" w:hAnsi="Mongolian Baiti" w:eastAsia="仿宋_GB2312" w:cs="Mongolian Baiti"/>
          <w:highlight w:val="none"/>
          <w:lang w:eastAsia="zh-CN"/>
        </w:rPr>
        <w:t>的</w:t>
      </w:r>
      <w:r>
        <w:rPr>
          <w:rStyle w:val="46"/>
          <w:rFonts w:hint="default" w:hAnsi="Mongolian Baiti" w:cs="Mongolian Baiti"/>
          <w:highlight w:val="none"/>
        </w:rPr>
        <w:t>安装；</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⑨</w:t>
      </w:r>
      <w:r>
        <w:rPr>
          <w:rStyle w:val="46"/>
          <w:rFonts w:hint="default" w:hAnsi="Mongolian Baiti" w:cs="Mongolian Baiti"/>
          <w:highlight w:val="none"/>
        </w:rPr>
        <w:t>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1套房屋出租；</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⑩</w:t>
      </w:r>
      <w:r>
        <w:rPr>
          <w:rStyle w:val="46"/>
          <w:rFonts w:hint="eastAsia" w:hAnsi="Mongolian Baiti" w:eastAsia="仿宋_GB2312" w:cs="Mongolian Baiti"/>
          <w:highlight w:val="none"/>
          <w:lang w:val="en-US" w:eastAsia="zh-CN"/>
        </w:rPr>
        <w:t>完成了</w:t>
      </w:r>
      <w:r>
        <w:rPr>
          <w:rStyle w:val="46"/>
          <w:rFonts w:hint="default" w:hAnsi="Mongolian Baiti" w:cs="Mongolian Baiti"/>
          <w:highlight w:val="none"/>
        </w:rPr>
        <w:t>13.02亩茶叶地流转；</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⑪</w:t>
      </w:r>
      <w:r>
        <w:rPr>
          <w:rStyle w:val="46"/>
          <w:rFonts w:hint="eastAsia" w:hAnsi="Mongolian Baiti" w:eastAsia="仿宋_GB2312" w:cs="Mongolian Baiti"/>
          <w:highlight w:val="none"/>
          <w:lang w:val="en-US" w:eastAsia="zh-CN"/>
        </w:rPr>
        <w:t>完成了</w:t>
      </w:r>
      <w:r>
        <w:rPr>
          <w:rStyle w:val="46"/>
          <w:rFonts w:hint="default" w:hAnsi="Mongolian Baiti" w:cs="Mongolian Baiti"/>
          <w:highlight w:val="none"/>
        </w:rPr>
        <w:t>2786.97㎡猪舍</w:t>
      </w:r>
      <w:r>
        <w:rPr>
          <w:rStyle w:val="46"/>
          <w:rFonts w:hint="eastAsia" w:hAnsi="Mongolian Baiti" w:eastAsia="仿宋_GB2312" w:cs="Mongolian Baiti"/>
          <w:highlight w:val="none"/>
          <w:lang w:eastAsia="zh-CN"/>
        </w:rPr>
        <w:t>的</w:t>
      </w:r>
      <w:r>
        <w:rPr>
          <w:rStyle w:val="46"/>
          <w:rFonts w:hint="eastAsia" w:hAnsi="Mongolian Baiti" w:eastAsia="仿宋_GB2312" w:cs="Mongolian Baiti"/>
          <w:highlight w:val="none"/>
          <w:lang w:val="en-US" w:eastAsia="zh-CN"/>
        </w:rPr>
        <w:t>建设</w:t>
      </w:r>
      <w:r>
        <w:rPr>
          <w:rStyle w:val="46"/>
          <w:rFonts w:hint="default" w:hAnsi="Mongolian Baiti" w:cs="Mongolian Baiti"/>
          <w:highlight w:val="none"/>
        </w:rPr>
        <w:t>；</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⑫完成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党建长廊建设；</w:t>
      </w:r>
    </w:p>
    <w:p>
      <w:pPr>
        <w:spacing w:line="360" w:lineRule="auto"/>
        <w:ind w:firstLine="640" w:firstLineChars="200"/>
        <w:rPr>
          <w:rStyle w:val="46"/>
          <w:rFonts w:hint="default" w:hAnsi="Mongolian Baiti" w:eastAsia="仿宋_GB2312" w:cs="Mongolian Baiti"/>
          <w:highlight w:val="none"/>
          <w:lang w:val="en-US" w:eastAsia="zh-CN"/>
        </w:rPr>
      </w:pPr>
      <w:r>
        <w:rPr>
          <w:rStyle w:val="46"/>
          <w:rFonts w:hint="default" w:hAnsi="Mongolian Baiti" w:cs="Mongolian Baiti"/>
          <w:highlight w:val="none"/>
        </w:rPr>
        <w:t>⑬</w:t>
      </w:r>
      <w:r>
        <w:rPr>
          <w:rStyle w:val="46"/>
          <w:rFonts w:hint="eastAsia" w:hAnsi="Mongolian Baiti" w:eastAsia="仿宋_GB2312" w:cs="Mongolian Baiti"/>
          <w:highlight w:val="none"/>
          <w:lang w:val="en-US" w:eastAsia="zh-CN"/>
        </w:rPr>
        <w:t>完成了城乡供水一体化项目；</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⑭</w:t>
      </w:r>
      <w:r>
        <w:rPr>
          <w:rStyle w:val="46"/>
          <w:rFonts w:hint="default" w:hAnsi="Mongolian Baiti" w:cs="Mongolian Baiti"/>
          <w:highlight w:val="none"/>
        </w:rPr>
        <w:t>完成</w:t>
      </w:r>
      <w:r>
        <w:rPr>
          <w:rStyle w:val="46"/>
          <w:rFonts w:hint="eastAsia" w:hAnsi="Mongolian Baiti" w:eastAsia="仿宋_GB2312" w:cs="Mongolian Baiti"/>
          <w:highlight w:val="none"/>
          <w:lang w:eastAsia="zh-CN"/>
        </w:rPr>
        <w:t>了</w:t>
      </w:r>
      <w:r>
        <w:rPr>
          <w:rStyle w:val="46"/>
          <w:rFonts w:hint="default" w:hAnsi="Mongolian Baiti" w:cs="Mongolian Baiti"/>
          <w:highlight w:val="none"/>
        </w:rPr>
        <w:t>曼蚌及城子五个村的传习亭、感恩亭建设，曼丙老寨及中寨初心亭、团结亭改造，曼丙老寨、中寨及新寨办公区及配套设施改造；</w:t>
      </w:r>
    </w:p>
    <w:p>
      <w:pPr>
        <w:spacing w:line="360" w:lineRule="auto"/>
        <w:ind w:firstLine="640" w:firstLineChars="200"/>
        <w:rPr>
          <w:rStyle w:val="46"/>
          <w:rFonts w:hint="default" w:hAnsi="Mongolian Baiti" w:cs="Mongolian Baiti"/>
          <w:color w:val="FF0000"/>
          <w:highlight w:val="none"/>
        </w:rPr>
      </w:pPr>
      <w:r>
        <w:rPr>
          <w:rStyle w:val="46"/>
          <w:rFonts w:hint="eastAsia" w:hAnsi="Mongolian Baiti" w:eastAsia="仿宋_GB2312" w:cs="Mongolian Baiti"/>
          <w:highlight w:val="none"/>
          <w:lang w:val="en-US" w:eastAsia="zh-CN"/>
        </w:rPr>
        <w:t>⑮完成了</w:t>
      </w:r>
      <w:r>
        <w:rPr>
          <w:rStyle w:val="46"/>
          <w:rFonts w:hint="default" w:hAnsi="Mongolian Baiti" w:cs="Mongolian Baiti"/>
          <w:highlight w:val="none"/>
        </w:rPr>
        <w:t>3个村小组红旗飘飘工程，</w:t>
      </w:r>
      <w:r>
        <w:rPr>
          <w:rStyle w:val="46"/>
          <w:rFonts w:hint="eastAsia" w:hAnsi="Mongolian Baiti" w:eastAsia="仿宋_GB2312" w:cs="Mongolian Baiti"/>
          <w:highlight w:val="none"/>
          <w:lang w:val="en-US" w:eastAsia="zh-CN"/>
        </w:rPr>
        <w:t>并</w:t>
      </w:r>
      <w:r>
        <w:rPr>
          <w:rStyle w:val="46"/>
          <w:rFonts w:hint="default" w:hAnsi="Mongolian Baiti" w:cs="Mongolian Baiti"/>
          <w:highlight w:val="none"/>
        </w:rPr>
        <w:t>制作10个村小组路牌及户牌；</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⑯完成了</w:t>
      </w:r>
      <w:r>
        <w:rPr>
          <w:rStyle w:val="46"/>
          <w:rFonts w:hint="default" w:hAnsi="Mongolian Baiti" w:cs="Mongolian Baiti"/>
          <w:highlight w:val="none"/>
        </w:rPr>
        <w:t>守望亭及村史馆</w:t>
      </w:r>
      <w:r>
        <w:rPr>
          <w:rStyle w:val="46"/>
          <w:rFonts w:hint="eastAsia" w:hAnsi="Mongolian Baiti" w:eastAsia="仿宋_GB2312" w:cs="Mongolian Baiti"/>
          <w:highlight w:val="none"/>
          <w:lang w:val="en-US" w:eastAsia="zh-CN"/>
        </w:rPr>
        <w:t>的建设</w:t>
      </w:r>
      <w:r>
        <w:rPr>
          <w:rStyle w:val="46"/>
          <w:rFonts w:hint="default" w:hAnsi="Mongolian Baiti" w:cs="Mongolian Baiti"/>
          <w:highlight w:val="none"/>
        </w:rPr>
        <w:t>。</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（2）产出质量</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color w:val="auto"/>
          <w:highlight w:val="none"/>
        </w:rPr>
        <w:t>根据提供的</w:t>
      </w:r>
      <w:r>
        <w:rPr>
          <w:rStyle w:val="46"/>
          <w:rFonts w:hint="eastAsia" w:hAnsi="Mongolian Baiti" w:eastAsia="仿宋_GB2312" w:cs="Mongolian Baiti"/>
          <w:color w:val="auto"/>
          <w:highlight w:val="none"/>
          <w:lang w:eastAsia="zh-CN"/>
        </w:rPr>
        <w:t>《</w:t>
      </w:r>
      <w:r>
        <w:rPr>
          <w:rStyle w:val="46"/>
          <w:rFonts w:hint="eastAsia" w:hAnsi="Mongolian Baiti" w:eastAsia="仿宋_GB2312" w:cs="Mongolian Baiti"/>
          <w:color w:val="auto"/>
          <w:highlight w:val="none"/>
          <w:lang w:val="en-US" w:eastAsia="zh-CN"/>
        </w:rPr>
        <w:t>竣工验收合格证明书</w:t>
      </w:r>
      <w:r>
        <w:rPr>
          <w:rStyle w:val="46"/>
          <w:rFonts w:hint="eastAsia" w:hAnsi="Mongolian Baiti" w:eastAsia="仿宋_GB2312" w:cs="Mongolian Baiti"/>
          <w:color w:val="auto"/>
          <w:highlight w:val="none"/>
          <w:lang w:eastAsia="zh-CN"/>
        </w:rPr>
        <w:t>》</w:t>
      </w:r>
      <w:r>
        <w:rPr>
          <w:rStyle w:val="46"/>
          <w:rFonts w:hint="default" w:hAnsi="Mongolian Baiti" w:cs="Mongolian Baiti"/>
          <w:color w:val="auto"/>
          <w:highlight w:val="none"/>
        </w:rPr>
        <w:t>，中国共产党勐海县委员会组织部于20</w:t>
      </w:r>
      <w:r>
        <w:rPr>
          <w:rStyle w:val="46"/>
          <w:rFonts w:hint="eastAsia" w:hAnsi="Mongolian Baiti" w:eastAsia="仿宋_GB2312" w:cs="Mongolian Baiti"/>
          <w:color w:val="auto"/>
          <w:highlight w:val="none"/>
          <w:lang w:val="en-US" w:eastAsia="zh-CN"/>
        </w:rPr>
        <w:t>20</w:t>
      </w:r>
      <w:r>
        <w:rPr>
          <w:rStyle w:val="46"/>
          <w:rFonts w:hint="default" w:hAnsi="Mongolian Baiti" w:cs="Mongolian Baiti"/>
          <w:color w:val="auto"/>
          <w:highlight w:val="none"/>
        </w:rPr>
        <w:t>年</w:t>
      </w:r>
      <w:r>
        <w:rPr>
          <w:rStyle w:val="46"/>
          <w:rFonts w:hint="eastAsia" w:hAnsi="Mongolian Baiti" w:eastAsia="仿宋_GB2312" w:cs="Mongolian Baiti"/>
          <w:color w:val="auto"/>
          <w:highlight w:val="none"/>
          <w:lang w:val="en-US" w:eastAsia="zh-CN"/>
        </w:rPr>
        <w:t>5</w:t>
      </w:r>
      <w:r>
        <w:rPr>
          <w:rStyle w:val="46"/>
          <w:rFonts w:hint="default" w:hAnsi="Mongolian Baiti" w:cs="Mongolian Baiti"/>
          <w:color w:val="auto"/>
          <w:highlight w:val="none"/>
        </w:rPr>
        <w:t>月</w:t>
      </w:r>
      <w:r>
        <w:rPr>
          <w:rStyle w:val="46"/>
          <w:rFonts w:hint="eastAsia" w:hAnsi="Mongolian Baiti" w:eastAsia="仿宋_GB2312" w:cs="Mongolian Baiti"/>
          <w:color w:val="auto"/>
          <w:highlight w:val="none"/>
          <w:lang w:val="en-US" w:eastAsia="zh-CN"/>
        </w:rPr>
        <w:t>28</w:t>
      </w:r>
      <w:r>
        <w:rPr>
          <w:rStyle w:val="46"/>
          <w:rFonts w:hint="default" w:hAnsi="Mongolian Baiti" w:cs="Mongolian Baiti"/>
          <w:color w:val="auto"/>
          <w:highlight w:val="none"/>
        </w:rPr>
        <w:t>日</w:t>
      </w:r>
      <w:r>
        <w:rPr>
          <w:rStyle w:val="46"/>
          <w:rFonts w:hint="eastAsia" w:hAnsi="Mongolian Baiti" w:eastAsia="仿宋_GB2312" w:cs="Mongolian Baiti"/>
          <w:color w:val="auto"/>
          <w:highlight w:val="none"/>
          <w:lang w:val="en-US" w:eastAsia="zh-CN"/>
        </w:rPr>
        <w:t>陆续</w:t>
      </w:r>
      <w:r>
        <w:rPr>
          <w:rStyle w:val="46"/>
          <w:rFonts w:hint="default" w:hAnsi="Mongolian Baiti" w:cs="Mongolian Baiti"/>
          <w:color w:val="auto"/>
          <w:highlight w:val="none"/>
        </w:rPr>
        <w:t>组</w:t>
      </w:r>
      <w:r>
        <w:rPr>
          <w:rStyle w:val="46"/>
          <w:rFonts w:hint="default" w:hAnsi="Mongolian Baiti" w:cs="Mongolian Baiti"/>
          <w:highlight w:val="none"/>
        </w:rPr>
        <w:t>织了项目施工单位、监理单位、设计单位等对2019年至2020年的</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建设试点项目进行竣工验收，验收结论为：合格。（尚未提供2021年</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建设试点项目的验收资料）</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项目绩效评价过程中，评价小组采用向受益的村寨发放</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问卷调查</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的方式对项目工程质量满意情况进行调查。根据调查问卷结果分析，</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非常满意</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的</w:t>
      </w:r>
      <w:r>
        <w:rPr>
          <w:rStyle w:val="46"/>
          <w:rFonts w:hint="eastAsia" w:hAnsi="Mongolian Baiti" w:eastAsia="仿宋_GB2312" w:cs="Mongolian Baiti"/>
          <w:highlight w:val="none"/>
          <w:lang w:val="en-US" w:eastAsia="zh-CN"/>
        </w:rPr>
        <w:t>44</w:t>
      </w:r>
      <w:r>
        <w:rPr>
          <w:rStyle w:val="46"/>
          <w:rFonts w:hint="default" w:hAnsi="Mongolian Baiti" w:cs="Mongolian Baiti"/>
          <w:highlight w:val="none"/>
        </w:rPr>
        <w:t>份、</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满意</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的24份，</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一般</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2份，项目综合质量认可率为8</w:t>
      </w:r>
      <w:r>
        <w:rPr>
          <w:rStyle w:val="46"/>
          <w:rFonts w:hint="eastAsia" w:hAnsi="Mongolian Baiti" w:eastAsia="仿宋_GB2312" w:cs="Mongolian Baiti"/>
          <w:highlight w:val="none"/>
          <w:lang w:val="en-US" w:eastAsia="zh-CN"/>
        </w:rPr>
        <w:t>8.0</w:t>
      </w:r>
      <w:r>
        <w:rPr>
          <w:rStyle w:val="46"/>
          <w:rFonts w:hint="default" w:hAnsi="Mongolian Baiti" w:cs="Mongolian Baiti"/>
          <w:highlight w:val="none"/>
        </w:rPr>
        <w:t>0%。</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（3）产出时效</w:t>
      </w:r>
    </w:p>
    <w:p>
      <w:pPr>
        <w:spacing w:line="360" w:lineRule="auto"/>
        <w:ind w:firstLine="640" w:firstLineChars="200"/>
        <w:rPr>
          <w:rStyle w:val="46"/>
          <w:rFonts w:hint="default" w:hAnsi="Mongolian Baiti" w:cs="Mongolian Baiti"/>
          <w:color w:val="000000" w:themeColor="text1"/>
          <w:highlight w:val="none"/>
          <w14:textFill>
            <w14:solidFill>
              <w14:schemeClr w14:val="tx1"/>
            </w14:solidFill>
          </w14:textFill>
        </w:rPr>
      </w:pPr>
      <w:r>
        <w:rPr>
          <w:rStyle w:val="46"/>
          <w:rFonts w:hint="default" w:hAnsi="Mongolian Baiti" w:cs="Mongolian Baiti"/>
          <w:color w:val="000000" w:themeColor="text1"/>
          <w:highlight w:val="none"/>
          <w14:textFill>
            <w14:solidFill>
              <w14:schemeClr w14:val="tx1"/>
            </w14:solidFill>
          </w14:textFill>
        </w:rPr>
        <w:t>①项目（工程）开工及时情况</w:t>
      </w:r>
    </w:p>
    <w:p>
      <w:pPr>
        <w:spacing w:line="360" w:lineRule="auto"/>
        <w:ind w:firstLine="640" w:firstLineChars="200"/>
        <w:rPr>
          <w:rStyle w:val="46"/>
          <w:rFonts w:hint="default" w:hAnsi="Mongolian Baiti" w:cs="Mongolian Baiti"/>
          <w:color w:val="000000" w:themeColor="text1"/>
          <w:highlight w:val="none"/>
          <w14:textFill>
            <w14:solidFill>
              <w14:schemeClr w14:val="tx1"/>
            </w14:solidFill>
          </w14:textFill>
        </w:rPr>
      </w:pPr>
      <w:r>
        <w:rPr>
          <w:rStyle w:val="46"/>
          <w:rFonts w:hint="default" w:hAnsi="Mongolian Baiti" w:cs="Mongolian Baiti"/>
          <w:color w:val="000000" w:themeColor="text1"/>
          <w:highlight w:val="none"/>
          <w14:textFill>
            <w14:solidFill>
              <w14:schemeClr w14:val="tx1"/>
            </w14:solidFill>
          </w14:textFill>
        </w:rPr>
        <w:t>根据提供的项目合同及开工令等资料，部分标段未在计划内开工，情况如下：</w:t>
      </w:r>
    </w:p>
    <w:p>
      <w:pPr>
        <w:spacing w:line="360" w:lineRule="auto"/>
        <w:jc w:val="center"/>
        <w:rPr>
          <w:rStyle w:val="46"/>
          <w:rFonts w:hint="default" w:hAnsi="Mongolian Baiti" w:cs="Mongolian Baiti"/>
          <w:highlight w:val="none"/>
        </w:rPr>
      </w:pPr>
      <w:r>
        <w:rPr>
          <w:highlight w:val="none"/>
        </w:rPr>
        <w:drawing>
          <wp:inline distT="0" distB="0" distL="114300" distR="114300">
            <wp:extent cx="4768850" cy="2076450"/>
            <wp:effectExtent l="0" t="0" r="6350" b="635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9"/>
                    <a:stretch>
                      <a:fillRect/>
                    </a:stretch>
                  </pic:blipFill>
                  <pic:spPr>
                    <a:xfrm>
                      <a:off x="0" y="0"/>
                      <a:ext cx="4768850" cy="2076450"/>
                    </a:xfrm>
                    <a:prstGeom prst="rect">
                      <a:avLst/>
                    </a:prstGeom>
                    <a:noFill/>
                    <a:ln>
                      <a:noFill/>
                    </a:ln>
                  </pic:spPr>
                </pic:pic>
              </a:graphicData>
            </a:graphic>
          </wp:inline>
        </w:drawing>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②项目（工程）完工及时情况</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根据提供的项目合同及完工资料，部分项目未在计划工期内完工，具体情况如下：</w:t>
      </w:r>
    </w:p>
    <w:p>
      <w:pPr>
        <w:spacing w:line="360" w:lineRule="auto"/>
        <w:jc w:val="center"/>
        <w:rPr>
          <w:highlight w:val="none"/>
        </w:rPr>
      </w:pPr>
      <w:r>
        <w:drawing>
          <wp:inline distT="0" distB="0" distL="114300" distR="114300">
            <wp:extent cx="4768850" cy="18605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768850" cy="1860550"/>
                    </a:xfrm>
                    <a:prstGeom prst="rect">
                      <a:avLst/>
                    </a:prstGeom>
                    <a:noFill/>
                    <a:ln>
                      <a:noFill/>
                    </a:ln>
                  </pic:spPr>
                </pic:pic>
              </a:graphicData>
            </a:graphic>
          </wp:inline>
        </w:drawing>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③竣工决算财务报表编制及时性</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根据提供的项目资料，单位未按规定时间及时针对已完工项目编制《基本建设项目竣工财务决算报表》。</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（4）产出成本</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bCs/>
          <w:highlight w:val="none"/>
        </w:rPr>
        <w:t>项目通过招标、全过程监理等方式进行成本控制，具体情况如下：</w:t>
      </w:r>
    </w:p>
    <w:p>
      <w:pPr>
        <w:spacing w:line="360" w:lineRule="auto"/>
        <w:ind w:firstLine="640" w:firstLineChars="200"/>
        <w:rPr>
          <w:rStyle w:val="46"/>
          <w:rFonts w:hint="default" w:hAnsi="Mongolian Baiti" w:cs="Mongolian Baiti"/>
          <w:highlight w:val="none"/>
        </w:rPr>
      </w:pPr>
      <w:r>
        <w:rPr>
          <w:rStyle w:val="46"/>
          <w:rFonts w:hint="default" w:ascii="仿宋" w:hAnsi="仿宋" w:eastAsia="仿宋" w:cs="Mongolian Baiti"/>
          <w:highlight w:val="none"/>
        </w:rPr>
        <w:t>①</w:t>
      </w:r>
      <w:r>
        <w:rPr>
          <w:rStyle w:val="46"/>
          <w:rFonts w:hint="default" w:hAnsi="Mongolian Baiti" w:cs="Mongolian Baiti"/>
          <w:highlight w:val="none"/>
        </w:rPr>
        <w:t>项目建设前期按照《</w:t>
      </w:r>
      <w:r>
        <w:rPr>
          <w:rStyle w:val="46"/>
          <w:rFonts w:hint="eastAsia" w:hAnsi="Mongolian Baiti" w:eastAsia="仿宋_GB2312" w:cs="Mongolian Baiti"/>
          <w:highlight w:val="none"/>
          <w:lang w:eastAsia="zh-CN"/>
        </w:rPr>
        <w:t>中华人民共和国招标投标法</w:t>
      </w:r>
      <w:r>
        <w:rPr>
          <w:rStyle w:val="46"/>
          <w:rFonts w:hint="default" w:hAnsi="Mongolian Baiti" w:cs="Mongolian Baiti"/>
          <w:highlight w:val="none"/>
        </w:rPr>
        <w:t>》、《中华人民共和国招投标实施条例》的规定，委托云南招标股份有限公司、西双版纳鑫瑞工程咨询有限责任公司采用公开招标、竞争性谈判的方式确定项目施工单位和监理单位，一定程度上控制了项目实施成本，规范了项目实施程序。项目招标情况如下表：</w:t>
      </w:r>
    </w:p>
    <w:p>
      <w:pPr>
        <w:spacing w:line="360" w:lineRule="auto"/>
        <w:jc w:val="center"/>
        <w:rPr>
          <w:rStyle w:val="46"/>
          <w:rFonts w:hint="default" w:hAnsi="Mongolian Baiti" w:cs="Mongolian Baiti"/>
          <w:b/>
          <w:bCs/>
          <w:sz w:val="28"/>
          <w:szCs w:val="22"/>
          <w:highlight w:val="none"/>
        </w:rPr>
      </w:pPr>
      <w:r>
        <w:rPr>
          <w:rStyle w:val="46"/>
          <w:rFonts w:hint="default" w:hAnsi="Mongolian Baiti" w:cs="Mongolian Baiti"/>
          <w:b/>
          <w:bCs/>
          <w:sz w:val="28"/>
          <w:szCs w:val="22"/>
          <w:highlight w:val="none"/>
        </w:rPr>
        <w:t>项目招标情况统计表</w:t>
      </w:r>
    </w:p>
    <w:p>
      <w:pPr>
        <w:spacing w:line="360" w:lineRule="auto"/>
        <w:jc w:val="left"/>
        <w:rPr>
          <w:rStyle w:val="46"/>
          <w:rFonts w:hint="default" w:hAnsi="Mongolian Baiti" w:cs="Mongolian Baiti"/>
          <w:highlight w:val="none"/>
        </w:rPr>
      </w:pPr>
      <w:r>
        <w:rPr>
          <w:highlight w:val="none"/>
        </w:rPr>
        <w:drawing>
          <wp:inline distT="0" distB="0" distL="114300" distR="114300">
            <wp:extent cx="5687060" cy="2317115"/>
            <wp:effectExtent l="0" t="0" r="254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687060" cy="2317115"/>
                    </a:xfrm>
                    <a:prstGeom prst="rect">
                      <a:avLst/>
                    </a:prstGeom>
                    <a:noFill/>
                    <a:ln>
                      <a:noFill/>
                    </a:ln>
                  </pic:spPr>
                </pic:pic>
              </a:graphicData>
            </a:graphic>
          </wp:inline>
        </w:drawing>
      </w:r>
    </w:p>
    <w:p>
      <w:pPr>
        <w:pStyle w:val="2"/>
        <w:rPr>
          <w:highlight w:val="none"/>
        </w:rPr>
      </w:pPr>
    </w:p>
    <w:p>
      <w:pPr>
        <w:spacing w:line="360" w:lineRule="auto"/>
        <w:ind w:firstLine="640" w:firstLineChars="200"/>
        <w:rPr>
          <w:rStyle w:val="46"/>
          <w:rFonts w:hint="default" w:hAnsi="Mongolian Baiti" w:cs="Mongolian Baiti"/>
          <w:highlight w:val="none"/>
        </w:rPr>
      </w:pPr>
      <w:r>
        <w:rPr>
          <w:rStyle w:val="46"/>
          <w:rFonts w:hint="default" w:ascii="仿宋" w:hAnsi="仿宋" w:eastAsia="仿宋" w:cs="Mongolian Baiti"/>
          <w:highlight w:val="none"/>
        </w:rPr>
        <w:t>②</w:t>
      </w:r>
      <w:r>
        <w:rPr>
          <w:rStyle w:val="46"/>
          <w:rFonts w:hint="default" w:hAnsi="Mongolian Baiti" w:cs="Mongolian Baiti"/>
          <w:highlight w:val="none"/>
        </w:rPr>
        <w:t>委托汉中市水利水电建筑勘测设计院、上海开艺设计集团有限公司等设计公司编制项目实施方案并取得批复文件；委托云南润滇工程技术咨询有限公司、云南天一工程造价咨询有限公司开展项目预算编制工作，项目建设工程量以及建设成本得到了多次审核论证，项目概算测算依据充分。</w:t>
      </w:r>
    </w:p>
    <w:p>
      <w:pPr>
        <w:spacing w:line="360" w:lineRule="auto"/>
        <w:ind w:firstLine="640" w:firstLineChars="200"/>
        <w:jc w:val="left"/>
        <w:rPr>
          <w:rStyle w:val="46"/>
          <w:rFonts w:hint="default" w:hAnsi="Mongolian Baiti" w:cs="Mongolian Baiti"/>
          <w:highlight w:val="none"/>
        </w:rPr>
      </w:pPr>
      <w:r>
        <w:rPr>
          <w:rStyle w:val="46"/>
          <w:rFonts w:hint="default" w:ascii="仿宋" w:hAnsi="仿宋" w:eastAsia="仿宋" w:cs="Mongolian Baiti"/>
          <w:highlight w:val="none"/>
        </w:rPr>
        <w:t>③</w:t>
      </w:r>
      <w:r>
        <w:rPr>
          <w:rStyle w:val="46"/>
          <w:rFonts w:hint="default" w:hAnsi="Mongolian Baiti" w:cs="Mongolian Baiti"/>
          <w:highlight w:val="none"/>
        </w:rPr>
        <w:t>项目执行监理制，建设过程中委托云南同磊工程监理咨询有限公司开展项目全过程监理工作。对建设项目的成本控制、进度控制、质量控制、环境控制、安全控制提供了充分的保障，推动了工程项目的顺利开展。</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4.效果情况分析</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本项目效果包括经济效益、社会效益、可持续性影响和服务对象满意度4个方面。</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（1）经济效益</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的实施，有利于进一步发展优势产业、增加村级集体经济收入，也可为当地村民带来更多就业机会，一定程度上缓解了就业压力，促进了社会经济发展；通过项目的合理规划及实施，使生产资料有效分配，实现布局与发展合理化，达到最佳的经济效益，逐步缩小城乡差距，逐步实现城乡一体化，确保集体资产保值、增值，确保农民受益。</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（2）社会效益</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的实施，对特色产业发展，提高村民生活质量，满足群众日益增长的物质文化和精神需求具有推动作用。通过群众直接参与建设、管护等形式带动群众积极生产；发扬文明、健康的生活方式，提高村组群众凝聚力；通过以点带面的方式，真正意义的促进村组经济、文化、教育等全面发展，维护社会安定团结。</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（3）生态效益</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项目的实施，一定程度上改变了村寨落后的基础设施，加大了各村民小组基础设施、公共服务设施建设力度，有效改善农村绿化、卫生环境，提升农村人居环境，进一步补齐农村环境</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短板</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，对加快推进乡村振兴步伐，对发展生态农业、美化环境、改善生态环境等方面都起到了极大地促进作用。</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（4）可持续性影响</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项目设计使用年限为30年。通过项目建设，区域内农村面貌得到改善和美化，农民经济收入得到提高</w:t>
      </w:r>
      <w:r>
        <w:rPr>
          <w:rStyle w:val="46"/>
          <w:rFonts w:hAnsi="Mongolian Baiti" w:cs="Mongolian Baiti"/>
          <w:highlight w:val="none"/>
        </w:rPr>
        <w:t>，</w:t>
      </w:r>
      <w:r>
        <w:rPr>
          <w:rStyle w:val="46"/>
          <w:rFonts w:hint="default" w:hAnsi="Mongolian Baiti" w:cs="Mongolian Baiti"/>
          <w:highlight w:val="none"/>
        </w:rPr>
        <w:t>农民获得感、幸福感不断增强，激发了其爱家乡、建设家乡的热情，为乡村振兴战略的实施提供持续的内在精神动力，对促进地区经济建设的可持续发展起到一定的推动作用</w:t>
      </w:r>
      <w:r>
        <w:rPr>
          <w:rStyle w:val="46"/>
          <w:rFonts w:hint="default" w:hAnsi="Mongolian Baiti" w:cs="Mongolian Baiti"/>
          <w:color w:val="000000" w:themeColor="text1"/>
          <w:highlight w:val="none"/>
          <w14:textFill>
            <w14:solidFill>
              <w14:schemeClr w14:val="tx1"/>
            </w14:solidFill>
          </w14:textFill>
        </w:rPr>
        <w:t>。但项目未注重后续管理，未进一步提供项目移交使用以及后续管理安排、管理措施等的资料。</w:t>
      </w:r>
    </w:p>
    <w:p>
      <w:pPr>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Style w:val="46"/>
          <w:rFonts w:hint="default" w:hAnsi="Mongolian Baiti" w:cs="Mongolian Baiti"/>
          <w:color w:val="000000" w:themeColor="text1"/>
          <w:highlight w:val="none"/>
          <w14:textFill>
            <w14:solidFill>
              <w14:schemeClr w14:val="tx1"/>
            </w14:solidFill>
          </w14:textFill>
        </w:rPr>
      </w:pPr>
      <w:r>
        <w:rPr>
          <w:rStyle w:val="46"/>
          <w:rFonts w:hint="default" w:hAnsi="Mongolian Baiti" w:cs="Mongolian Baiti"/>
          <w:color w:val="000000" w:themeColor="text1"/>
          <w:highlight w:val="none"/>
          <w14:textFill>
            <w14:solidFill>
              <w14:schemeClr w14:val="tx1"/>
            </w14:solidFill>
          </w14:textFill>
        </w:rPr>
        <w:t>（5）受益对象满意度</w:t>
      </w:r>
    </w:p>
    <w:p>
      <w:pPr>
        <w:pageBreakBefore w:val="0"/>
        <w:widowControl w:val="0"/>
        <w:kinsoku/>
        <w:wordWrap/>
        <w:overflowPunct/>
        <w:topLinePunct w:val="0"/>
        <w:autoSpaceDE/>
        <w:autoSpaceDN/>
        <w:bidi w:val="0"/>
        <w:adjustRightInd/>
        <w:snapToGrid/>
        <w:spacing w:before="0" w:after="0" w:line="360" w:lineRule="auto"/>
        <w:ind w:firstLine="640" w:firstLineChars="200"/>
        <w:textAlignment w:val="auto"/>
        <w:outlineLvl w:val="9"/>
        <w:rPr>
          <w:rStyle w:val="46"/>
          <w:rFonts w:hint="default" w:hAnsi="Mongolian Baiti" w:cs="Mongolian Baiti"/>
          <w:b w:val="0"/>
          <w:bCs w:val="0"/>
          <w:highlight w:val="none"/>
        </w:rPr>
      </w:pPr>
      <w:r>
        <w:rPr>
          <w:rStyle w:val="46"/>
          <w:rFonts w:hint="default" w:hAnsi="Mongolian Baiti" w:cs="Mongolian Baiti"/>
          <w:b w:val="0"/>
          <w:bCs w:val="0"/>
          <w:color w:val="000000" w:themeColor="text1"/>
          <w:szCs w:val="24"/>
          <w:highlight w:val="none"/>
          <w14:textFill>
            <w14:solidFill>
              <w14:schemeClr w14:val="tx1"/>
            </w14:solidFill>
          </w14:textFill>
        </w:rPr>
        <w:t>评价组采用问卷调查和访谈方式，对项目实施地直接受益对象满意度进行了调查，共发放调查问卷</w:t>
      </w:r>
      <w:r>
        <w:rPr>
          <w:rStyle w:val="46"/>
          <w:rFonts w:hint="eastAsia" w:hAnsi="Mongolian Baiti" w:eastAsia="仿宋_GB2312" w:cs="Mongolian Baiti"/>
          <w:b w:val="0"/>
          <w:bCs w:val="0"/>
          <w:color w:val="000000" w:themeColor="text1"/>
          <w:szCs w:val="24"/>
          <w:highlight w:val="none"/>
          <w:lang w:val="en-US" w:eastAsia="zh-CN"/>
          <w14:textFill>
            <w14:solidFill>
              <w14:schemeClr w14:val="tx1"/>
            </w14:solidFill>
          </w14:textFill>
        </w:rPr>
        <w:t>7</w:t>
      </w:r>
      <w:r>
        <w:rPr>
          <w:rStyle w:val="46"/>
          <w:rFonts w:hint="default" w:hAnsi="Mongolian Baiti" w:cs="Mongolian Baiti"/>
          <w:b w:val="0"/>
          <w:bCs w:val="0"/>
          <w:color w:val="000000" w:themeColor="text1"/>
          <w:szCs w:val="24"/>
          <w:highlight w:val="none"/>
          <w14:textFill>
            <w14:solidFill>
              <w14:schemeClr w14:val="tx1"/>
            </w14:solidFill>
          </w14:textFill>
        </w:rPr>
        <w:t>0份，收回有效调查问卷</w:t>
      </w:r>
      <w:r>
        <w:rPr>
          <w:rStyle w:val="46"/>
          <w:rFonts w:hint="eastAsia" w:hAnsi="Mongolian Baiti" w:eastAsia="仿宋_GB2312" w:cs="Mongolian Baiti"/>
          <w:b w:val="0"/>
          <w:bCs w:val="0"/>
          <w:color w:val="000000" w:themeColor="text1"/>
          <w:szCs w:val="24"/>
          <w:highlight w:val="none"/>
          <w:lang w:val="en-US" w:eastAsia="zh-CN"/>
          <w14:textFill>
            <w14:solidFill>
              <w14:schemeClr w14:val="tx1"/>
            </w14:solidFill>
          </w14:textFill>
        </w:rPr>
        <w:t>7</w:t>
      </w:r>
      <w:r>
        <w:rPr>
          <w:rStyle w:val="46"/>
          <w:rFonts w:hint="default" w:hAnsi="Mongolian Baiti" w:cs="Mongolian Baiti"/>
          <w:b w:val="0"/>
          <w:bCs w:val="0"/>
          <w:color w:val="000000" w:themeColor="text1"/>
          <w:szCs w:val="24"/>
          <w:highlight w:val="none"/>
          <w14:textFill>
            <w14:solidFill>
              <w14:schemeClr w14:val="tx1"/>
            </w14:solidFill>
          </w14:textFill>
        </w:rPr>
        <w:t>0份。根据调查问卷及访谈结果分析，对项目实施</w:t>
      </w:r>
      <w:r>
        <w:rPr>
          <w:rStyle w:val="46"/>
          <w:rFonts w:hint="eastAsia" w:hAnsi="Mongolian Baiti" w:eastAsia="仿宋_GB2312" w:cs="Mongolian Baiti"/>
          <w:b w:val="0"/>
          <w:bCs w:val="0"/>
          <w:color w:val="000000" w:themeColor="text1"/>
          <w:szCs w:val="24"/>
          <w:highlight w:val="none"/>
          <w:lang w:eastAsia="zh-CN"/>
          <w14:textFill>
            <w14:solidFill>
              <w14:schemeClr w14:val="tx1"/>
            </w14:solidFill>
          </w14:textFill>
        </w:rPr>
        <w:t>“</w:t>
      </w:r>
      <w:r>
        <w:rPr>
          <w:rStyle w:val="46"/>
          <w:rFonts w:hint="default" w:hAnsi="Mongolian Baiti" w:cs="Mongolian Baiti"/>
          <w:b w:val="0"/>
          <w:bCs w:val="0"/>
          <w:color w:val="000000" w:themeColor="text1"/>
          <w:szCs w:val="24"/>
          <w:highlight w:val="none"/>
          <w14:textFill>
            <w14:solidFill>
              <w14:schemeClr w14:val="tx1"/>
            </w14:solidFill>
          </w14:textFill>
        </w:rPr>
        <w:t>非常满意</w:t>
      </w:r>
      <w:r>
        <w:rPr>
          <w:rStyle w:val="46"/>
          <w:rFonts w:hint="eastAsia" w:hAnsi="Mongolian Baiti" w:eastAsia="仿宋_GB2312" w:cs="Mongolian Baiti"/>
          <w:b w:val="0"/>
          <w:bCs w:val="0"/>
          <w:color w:val="000000" w:themeColor="text1"/>
          <w:szCs w:val="24"/>
          <w:highlight w:val="none"/>
          <w:lang w:eastAsia="zh-CN"/>
          <w14:textFill>
            <w14:solidFill>
              <w14:schemeClr w14:val="tx1"/>
            </w14:solidFill>
          </w14:textFill>
        </w:rPr>
        <w:t>”</w:t>
      </w:r>
      <w:r>
        <w:rPr>
          <w:rStyle w:val="46"/>
          <w:rFonts w:hint="default" w:hAnsi="Mongolian Baiti" w:cs="Mongolian Baiti"/>
          <w:b w:val="0"/>
          <w:bCs w:val="0"/>
          <w:color w:val="000000" w:themeColor="text1"/>
          <w:szCs w:val="24"/>
          <w:highlight w:val="none"/>
          <w14:textFill>
            <w14:solidFill>
              <w14:schemeClr w14:val="tx1"/>
            </w14:solidFill>
          </w14:textFill>
        </w:rPr>
        <w:t>的</w:t>
      </w:r>
      <w:r>
        <w:rPr>
          <w:rStyle w:val="46"/>
          <w:rFonts w:hint="eastAsia" w:hAnsi="Mongolian Baiti" w:eastAsia="仿宋_GB2312" w:cs="Mongolian Baiti"/>
          <w:b w:val="0"/>
          <w:bCs w:val="0"/>
          <w:color w:val="000000" w:themeColor="text1"/>
          <w:szCs w:val="24"/>
          <w:highlight w:val="none"/>
          <w:lang w:val="en-US" w:eastAsia="zh-CN"/>
          <w14:textFill>
            <w14:solidFill>
              <w14:schemeClr w14:val="tx1"/>
            </w14:solidFill>
          </w14:textFill>
        </w:rPr>
        <w:t>5</w:t>
      </w:r>
      <w:r>
        <w:rPr>
          <w:rStyle w:val="46"/>
          <w:rFonts w:hint="default" w:hAnsi="Mongolian Baiti" w:cs="Mongolian Baiti"/>
          <w:b w:val="0"/>
          <w:bCs w:val="0"/>
          <w:color w:val="000000" w:themeColor="text1"/>
          <w:szCs w:val="24"/>
          <w:highlight w:val="none"/>
          <w14:textFill>
            <w14:solidFill>
              <w14:schemeClr w14:val="tx1"/>
            </w14:solidFill>
          </w14:textFill>
        </w:rPr>
        <w:t>3份、</w:t>
      </w:r>
      <w:r>
        <w:rPr>
          <w:rStyle w:val="46"/>
          <w:rFonts w:hint="eastAsia" w:hAnsi="Mongolian Baiti" w:eastAsia="仿宋_GB2312" w:cs="Mongolian Baiti"/>
          <w:b w:val="0"/>
          <w:bCs w:val="0"/>
          <w:color w:val="000000" w:themeColor="text1"/>
          <w:szCs w:val="24"/>
          <w:highlight w:val="none"/>
          <w:lang w:eastAsia="zh-CN"/>
          <w14:textFill>
            <w14:solidFill>
              <w14:schemeClr w14:val="tx1"/>
            </w14:solidFill>
          </w14:textFill>
        </w:rPr>
        <w:t>“</w:t>
      </w:r>
      <w:r>
        <w:rPr>
          <w:rStyle w:val="46"/>
          <w:rFonts w:hint="default" w:hAnsi="Mongolian Baiti" w:cs="Mongolian Baiti"/>
          <w:b w:val="0"/>
          <w:bCs w:val="0"/>
          <w:color w:val="000000" w:themeColor="text1"/>
          <w:szCs w:val="24"/>
          <w:highlight w:val="none"/>
          <w14:textFill>
            <w14:solidFill>
              <w14:schemeClr w14:val="tx1"/>
            </w14:solidFill>
          </w14:textFill>
        </w:rPr>
        <w:t>满意</w:t>
      </w:r>
      <w:r>
        <w:rPr>
          <w:rStyle w:val="46"/>
          <w:rFonts w:hint="eastAsia" w:hAnsi="Mongolian Baiti" w:eastAsia="仿宋_GB2312" w:cs="Mongolian Baiti"/>
          <w:b w:val="0"/>
          <w:bCs w:val="0"/>
          <w:color w:val="000000" w:themeColor="text1"/>
          <w:szCs w:val="24"/>
          <w:highlight w:val="none"/>
          <w:lang w:eastAsia="zh-CN"/>
          <w14:textFill>
            <w14:solidFill>
              <w14:schemeClr w14:val="tx1"/>
            </w14:solidFill>
          </w14:textFill>
        </w:rPr>
        <w:t>”</w:t>
      </w:r>
      <w:r>
        <w:rPr>
          <w:rStyle w:val="46"/>
          <w:rFonts w:hint="default" w:hAnsi="Mongolian Baiti" w:cs="Mongolian Baiti"/>
          <w:b w:val="0"/>
          <w:bCs w:val="0"/>
          <w:color w:val="000000" w:themeColor="text1"/>
          <w:szCs w:val="24"/>
          <w:highlight w:val="none"/>
          <w14:textFill>
            <w14:solidFill>
              <w14:schemeClr w14:val="tx1"/>
            </w14:solidFill>
          </w14:textFill>
        </w:rPr>
        <w:t>的17份。经统计，项目受益对象综合满意度为</w:t>
      </w:r>
      <w:r>
        <w:rPr>
          <w:rStyle w:val="46"/>
          <w:rFonts w:hint="eastAsia" w:hAnsi="Mongolian Baiti" w:eastAsia="仿宋_GB2312" w:cs="Mongolian Baiti"/>
          <w:b w:val="0"/>
          <w:bCs w:val="0"/>
          <w:color w:val="000000" w:themeColor="text1"/>
          <w:szCs w:val="24"/>
          <w:highlight w:val="none"/>
          <w:lang w:val="en-US" w:eastAsia="zh-CN"/>
          <w14:textFill>
            <w14:solidFill>
              <w14:schemeClr w14:val="tx1"/>
            </w14:solidFill>
          </w14:textFill>
        </w:rPr>
        <w:t>94</w:t>
      </w:r>
      <w:r>
        <w:rPr>
          <w:rStyle w:val="46"/>
          <w:rFonts w:hint="default" w:hAnsi="Mongolian Baiti" w:cs="Mongolian Baiti"/>
          <w:b w:val="0"/>
          <w:bCs w:val="0"/>
          <w:color w:val="000000" w:themeColor="text1"/>
          <w:szCs w:val="24"/>
          <w:highlight w:val="none"/>
          <w14:textFill>
            <w14:solidFill>
              <w14:schemeClr w14:val="tx1"/>
            </w14:solidFill>
          </w14:textFill>
        </w:rPr>
        <w:t>.</w:t>
      </w:r>
      <w:r>
        <w:rPr>
          <w:rStyle w:val="46"/>
          <w:rFonts w:hint="eastAsia" w:hAnsi="Mongolian Baiti" w:eastAsia="仿宋_GB2312" w:cs="Mongolian Baiti"/>
          <w:b w:val="0"/>
          <w:bCs w:val="0"/>
          <w:color w:val="000000" w:themeColor="text1"/>
          <w:szCs w:val="24"/>
          <w:highlight w:val="none"/>
          <w:lang w:val="en-US" w:eastAsia="zh-CN"/>
          <w14:textFill>
            <w14:solidFill>
              <w14:schemeClr w14:val="tx1"/>
            </w14:solidFill>
          </w14:textFill>
        </w:rPr>
        <w:t>19</w:t>
      </w:r>
      <w:r>
        <w:rPr>
          <w:rStyle w:val="46"/>
          <w:rFonts w:hint="default" w:hAnsi="Mongolian Baiti" w:cs="Mongolian Baiti"/>
          <w:b w:val="0"/>
          <w:bCs w:val="0"/>
          <w:color w:val="000000" w:themeColor="text1"/>
          <w:szCs w:val="24"/>
          <w:highlight w:val="none"/>
          <w14:textFill>
            <w14:solidFill>
              <w14:schemeClr w14:val="tx1"/>
            </w14:solidFill>
          </w14:textFill>
        </w:rPr>
        <w:t>%。</w:t>
      </w:r>
    </w:p>
    <w:p>
      <w:pPr>
        <w:pStyle w:val="5"/>
        <w:spacing w:before="0" w:after="0" w:line="360" w:lineRule="auto"/>
        <w:ind w:firstLine="643" w:firstLineChars="200"/>
        <w:rPr>
          <w:rFonts w:ascii="楷体_GB2312" w:hAnsi="华文楷体" w:eastAsia="楷体_GB2312" w:cs="Times New Roman"/>
          <w:color w:val="000000"/>
          <w:highlight w:val="none"/>
          <w:lang w:val="zh-CN"/>
        </w:rPr>
      </w:pPr>
      <w:bookmarkStart w:id="21" w:name="_Toc23123"/>
      <w:r>
        <w:rPr>
          <w:rFonts w:hint="eastAsia" w:ascii="楷体_GB2312" w:hAnsi="华文楷体" w:eastAsia="楷体_GB2312" w:cs="Times New Roman"/>
          <w:color w:val="000000"/>
          <w:highlight w:val="none"/>
        </w:rPr>
        <w:t>（二）评价结论</w:t>
      </w:r>
      <w:bookmarkEnd w:id="21"/>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1.评分结果</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依据项目绩效评价计分方法，项目满分100.00分，经评价组评价，项目综合得分</w:t>
      </w:r>
      <w:r>
        <w:rPr>
          <w:rStyle w:val="46"/>
          <w:rFonts w:hint="eastAsia" w:hAnsi="Mongolian Baiti" w:eastAsia="仿宋_GB2312" w:cs="Mongolian Baiti"/>
          <w:highlight w:val="none"/>
          <w:lang w:val="en-US" w:eastAsia="zh-CN"/>
        </w:rPr>
        <w:t>80</w:t>
      </w:r>
      <w:r>
        <w:rPr>
          <w:rStyle w:val="46"/>
          <w:rFonts w:hint="default" w:hAnsi="Mongolian Baiti" w:cs="Mongolian Baiti"/>
          <w:highlight w:val="none"/>
        </w:rPr>
        <w:t>.25分，评价等级为</w:t>
      </w:r>
      <w:r>
        <w:rPr>
          <w:rStyle w:val="46"/>
          <w:rFonts w:hint="eastAsia" w:hAnsi="Mongolian Baiti" w:eastAsia="仿宋_GB2312" w:cs="Mongolian Baiti"/>
          <w:highlight w:val="none"/>
          <w:lang w:eastAsia="zh-CN"/>
        </w:rPr>
        <w:t>“</w:t>
      </w:r>
      <w:r>
        <w:rPr>
          <w:rStyle w:val="46"/>
          <w:rFonts w:hint="eastAsia" w:hAnsi="Mongolian Baiti" w:eastAsia="仿宋_GB2312" w:cs="Mongolian Baiti"/>
          <w:highlight w:val="none"/>
          <w:lang w:val="en-US" w:eastAsia="zh-CN"/>
        </w:rPr>
        <w:t>良</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。一级指标得分情况详见下表：</w:t>
      </w:r>
    </w:p>
    <w:p>
      <w:pPr>
        <w:spacing w:line="360" w:lineRule="auto"/>
        <w:ind w:firstLine="562" w:firstLineChars="200"/>
        <w:jc w:val="center"/>
        <w:rPr>
          <w:rFonts w:ascii="仿宋_GB2312" w:eastAsia="仿宋_GB2312"/>
          <w:b/>
          <w:sz w:val="32"/>
          <w:szCs w:val="32"/>
          <w:highlight w:val="none"/>
        </w:rPr>
      </w:pPr>
      <w:r>
        <w:rPr>
          <w:rFonts w:hint="eastAsia" w:ascii="仿宋_GB2312" w:eastAsia="仿宋_GB2312"/>
          <w:b/>
          <w:sz w:val="28"/>
          <w:szCs w:val="28"/>
          <w:highlight w:val="none"/>
        </w:rPr>
        <w:t>绩效评价得分情况表</w:t>
      </w:r>
    </w:p>
    <w:p>
      <w:pPr>
        <w:spacing w:line="360" w:lineRule="auto"/>
        <w:ind w:firstLine="420" w:firstLineChars="200"/>
        <w:jc w:val="center"/>
        <w:rPr>
          <w:rStyle w:val="46"/>
          <w:rFonts w:hint="default" w:hAnsi="Mongolian Baiti" w:cs="Mongolian Baiti"/>
          <w:highlight w:val="none"/>
        </w:rPr>
      </w:pPr>
      <w:r>
        <w:drawing>
          <wp:inline distT="0" distB="0" distL="114300" distR="114300">
            <wp:extent cx="4146550" cy="1606550"/>
            <wp:effectExtent l="0" t="0" r="635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4146550" cy="1606550"/>
                    </a:xfrm>
                    <a:prstGeom prst="rect">
                      <a:avLst/>
                    </a:prstGeom>
                    <a:noFill/>
                    <a:ln>
                      <a:noFill/>
                    </a:ln>
                  </pic:spPr>
                </pic:pic>
              </a:graphicData>
            </a:graphic>
          </wp:inline>
        </w:drawing>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2.综合评价结论</w:t>
      </w:r>
    </w:p>
    <w:p>
      <w:pPr>
        <w:spacing w:line="360" w:lineRule="auto"/>
        <w:ind w:firstLine="640" w:firstLineChars="200"/>
        <w:rPr>
          <w:rStyle w:val="46"/>
          <w:rFonts w:hint="default" w:hAnsi="Mongolian Baiti" w:cs="Mongolian Baiti"/>
          <w:i/>
          <w:highlight w:val="none"/>
        </w:rPr>
      </w:pPr>
      <w:r>
        <w:rPr>
          <w:rStyle w:val="46"/>
          <w:rFonts w:hint="default" w:hAnsi="Mongolian Baiti" w:cs="Mongolian Baiti"/>
          <w:highlight w:val="none"/>
        </w:rPr>
        <w:t>项目建设符合国家、政府既定的发展规划和目标要求，</w:t>
      </w:r>
      <w:r>
        <w:rPr>
          <w:rFonts w:hint="eastAsia" w:ascii="仿宋_GB2312" w:hAnsi="仿宋" w:eastAsia="仿宋_GB2312"/>
          <w:bCs/>
          <w:color w:val="000000"/>
          <w:sz w:val="32"/>
          <w:szCs w:val="32"/>
          <w:highlight w:val="none"/>
        </w:rPr>
        <w:t>项目</w:t>
      </w:r>
      <w:r>
        <w:rPr>
          <w:rFonts w:ascii="仿宋_GB2312" w:hAnsi="仿宋" w:eastAsia="仿宋_GB2312"/>
          <w:bCs/>
          <w:color w:val="000000"/>
          <w:sz w:val="32"/>
          <w:szCs w:val="32"/>
          <w:highlight w:val="none"/>
        </w:rPr>
        <w:t>立项依据充分</w:t>
      </w:r>
      <w:r>
        <w:rPr>
          <w:rFonts w:hint="eastAsia" w:ascii="仿宋_GB2312" w:hAnsi="仿宋" w:eastAsia="仿宋_GB2312"/>
          <w:bCs/>
          <w:color w:val="000000"/>
          <w:sz w:val="32"/>
          <w:szCs w:val="32"/>
          <w:highlight w:val="none"/>
        </w:rPr>
        <w:t>、合理；</w:t>
      </w:r>
      <w:r>
        <w:rPr>
          <w:rStyle w:val="46"/>
          <w:rFonts w:hint="default" w:hAnsi="Mongolian Baiti" w:cs="Mongolian Baiti"/>
          <w:highlight w:val="none"/>
        </w:rPr>
        <w:t>在项目实施过程中建设单位基本能够按照要求进行了绩效目标申报，能够按照相关文件及管理制度的要求组织项目实施，成本控制程序较完善</w:t>
      </w:r>
      <w:r>
        <w:rPr>
          <w:rStyle w:val="46"/>
          <w:rFonts w:hAnsi="Mongolian Baiti" w:cs="Mongolian Baiti"/>
          <w:highlight w:val="none"/>
        </w:rPr>
        <w:t>；</w:t>
      </w:r>
      <w:r>
        <w:rPr>
          <w:rStyle w:val="46"/>
          <w:rFonts w:hint="default" w:hAnsi="Mongolian Baiti" w:cs="Mongolian Baiti"/>
          <w:color w:val="000000" w:themeColor="text1"/>
          <w:highlight w:val="none"/>
          <w14:textFill>
            <w14:solidFill>
              <w14:schemeClr w14:val="tx1"/>
            </w14:solidFill>
          </w14:textFill>
        </w:rPr>
        <w:t>按财经法规及资金预算要求进行项目资金的管理和使用，履行了相应的项目管理及财务监管职责。但仍然存在项目管理未建立跟踪监控制度、绩效工作开展不到位，</w:t>
      </w:r>
      <w:r>
        <w:rPr>
          <w:rStyle w:val="46"/>
          <w:rFonts w:hint="default" w:hAnsi="Mongolian Baiti" w:cs="Mongolian Baiti"/>
          <w:highlight w:val="none"/>
        </w:rPr>
        <w:t>未按计划时间完成工程建设</w:t>
      </w:r>
      <w:r>
        <w:rPr>
          <w:rStyle w:val="46"/>
          <w:rFonts w:hAnsi="Mongolian Baiti" w:cs="Mongolian Baiti"/>
          <w:highlight w:val="none"/>
        </w:rPr>
        <w:t>，</w:t>
      </w:r>
      <w:r>
        <w:rPr>
          <w:rStyle w:val="46"/>
          <w:rFonts w:hint="default" w:hAnsi="Mongolian Baiti" w:cs="Mongolian Baiti"/>
          <w:highlight w:val="none"/>
        </w:rPr>
        <w:t>单位提供资料不完整等的问题。</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3.绩效目标实现情况</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综上评价，</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highlight w:val="none"/>
        </w:rPr>
        <w:t>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建设试点项目制定绩效目标41项，其中：已达标/已完成目标21项；未达标/未完成2</w:t>
      </w:r>
      <w:r>
        <w:rPr>
          <w:rStyle w:val="46"/>
          <w:rFonts w:hint="eastAsia" w:hAnsi="Mongolian Baiti" w:eastAsia="仿宋_GB2312" w:cs="Mongolian Baiti"/>
          <w:highlight w:val="none"/>
          <w:lang w:val="en-US" w:eastAsia="zh-CN"/>
        </w:rPr>
        <w:t>0</w:t>
      </w:r>
      <w:r>
        <w:rPr>
          <w:rStyle w:val="46"/>
          <w:rFonts w:hint="default" w:hAnsi="Mongolian Baiti" w:cs="Mongolian Baiti"/>
          <w:highlight w:val="none"/>
        </w:rPr>
        <w:t>项，具体评价情况为：</w:t>
      </w:r>
      <w:bookmarkStart w:id="22" w:name="_Toc16065"/>
    </w:p>
    <w:p>
      <w:pPr>
        <w:pStyle w:val="2"/>
        <w:rPr>
          <w:rFonts w:hint="default"/>
        </w:rPr>
      </w:pPr>
      <w:r>
        <w:drawing>
          <wp:inline distT="0" distB="0" distL="114300" distR="114300">
            <wp:extent cx="5688330" cy="2937510"/>
            <wp:effectExtent l="0" t="0" r="1270" b="889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23"/>
                    <a:stretch>
                      <a:fillRect/>
                    </a:stretch>
                  </pic:blipFill>
                  <pic:spPr>
                    <a:xfrm>
                      <a:off x="0" y="0"/>
                      <a:ext cx="5688330" cy="2937510"/>
                    </a:xfrm>
                    <a:prstGeom prst="rect">
                      <a:avLst/>
                    </a:prstGeom>
                    <a:noFill/>
                    <a:ln>
                      <a:noFill/>
                    </a:ln>
                  </pic:spPr>
                </pic:pic>
              </a:graphicData>
            </a:graphic>
          </wp:inline>
        </w:drawing>
      </w:r>
    </w:p>
    <w:p>
      <w:pPr>
        <w:pStyle w:val="2"/>
        <w:rPr>
          <w:highlight w:val="none"/>
        </w:rPr>
      </w:pPr>
      <w:r>
        <w:drawing>
          <wp:inline distT="0" distB="0" distL="114300" distR="114300">
            <wp:extent cx="5688330" cy="5400675"/>
            <wp:effectExtent l="0" t="0" r="127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688330" cy="5400675"/>
                    </a:xfrm>
                    <a:prstGeom prst="rect">
                      <a:avLst/>
                    </a:prstGeom>
                    <a:noFill/>
                    <a:ln>
                      <a:noFill/>
                    </a:ln>
                  </pic:spPr>
                </pic:pic>
              </a:graphicData>
            </a:graphic>
          </wp:inline>
        </w:drawing>
      </w:r>
    </w:p>
    <w:p>
      <w:pPr>
        <w:spacing w:line="360" w:lineRule="auto"/>
        <w:ind w:left="638" w:leftChars="304"/>
        <w:outlineLvl w:val="0"/>
        <w:rPr>
          <w:rFonts w:ascii="黑体" w:hAnsi="黑体" w:eastAsia="黑体"/>
          <w:color w:val="000000"/>
          <w:sz w:val="32"/>
          <w:szCs w:val="32"/>
          <w:highlight w:val="none"/>
        </w:rPr>
      </w:pPr>
      <w:bookmarkStart w:id="23" w:name="_Toc8587"/>
      <w:r>
        <w:rPr>
          <w:rFonts w:hint="eastAsia" w:ascii="黑体" w:hAnsi="黑体" w:eastAsia="黑体"/>
          <w:color w:val="000000"/>
          <w:sz w:val="32"/>
          <w:szCs w:val="32"/>
          <w:highlight w:val="none"/>
        </w:rPr>
        <w:t>四、主要经验及做法</w:t>
      </w:r>
      <w:bookmarkEnd w:id="23"/>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1.为加强</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highlight w:val="none"/>
        </w:rPr>
        <w:t>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建设，保障项目建设顺利实施，单位成立了领导小组，明确了各方职能职责，高质量、严要求的管理体制加快了项目建设，提高了工程管理质量，及时准确报送了进度信息，保障了项目及时投入使用。</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w:t>
      </w:r>
      <w:r>
        <w:rPr>
          <w:rStyle w:val="46"/>
          <w:rFonts w:hint="eastAsia" w:hAnsi="Mongolian Baiti" w:eastAsia="仿宋_GB2312" w:cs="Mongolian Baiti"/>
          <w:highlight w:val="none"/>
          <w:lang w:val="en-US" w:eastAsia="zh-CN"/>
        </w:rPr>
        <w:t>2019年-2021年打洛镇曼夕村等7个村寨</w:t>
      </w:r>
      <w:r>
        <w:rPr>
          <w:rStyle w:val="46"/>
          <w:rFonts w:hint="default" w:hAnsi="Mongolian Baiti" w:cs="Mongolian Baiti"/>
          <w:highlight w:val="none"/>
        </w:rPr>
        <w:t>边疆党建长廊</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建设试点项目通过委托招标公司采用公开招标、竞争性谈判的方式确定施工及监理单位，项目建设成本得到有效控制。</w:t>
      </w:r>
    </w:p>
    <w:p>
      <w:pPr>
        <w:spacing w:line="360" w:lineRule="auto"/>
        <w:ind w:firstLine="640" w:firstLineChars="200"/>
        <w:outlineLvl w:val="0"/>
        <w:rPr>
          <w:rFonts w:ascii="黑体" w:hAnsi="黑体" w:eastAsia="黑体"/>
          <w:color w:val="000000"/>
          <w:sz w:val="32"/>
          <w:szCs w:val="32"/>
          <w:highlight w:val="none"/>
        </w:rPr>
      </w:pPr>
      <w:bookmarkStart w:id="24" w:name="_Toc22504"/>
      <w:r>
        <w:rPr>
          <w:rFonts w:hint="eastAsia" w:ascii="黑体" w:hAnsi="黑体" w:eastAsia="黑体"/>
          <w:color w:val="000000"/>
          <w:sz w:val="32"/>
          <w:szCs w:val="32"/>
          <w:highlight w:val="none"/>
        </w:rPr>
        <w:t>五、存在的问题和建议</w:t>
      </w:r>
      <w:bookmarkEnd w:id="22"/>
      <w:bookmarkEnd w:id="24"/>
    </w:p>
    <w:p>
      <w:pPr>
        <w:spacing w:line="360" w:lineRule="auto"/>
        <w:ind w:firstLine="643" w:firstLineChars="200"/>
        <w:outlineLvl w:val="1"/>
        <w:rPr>
          <w:rFonts w:ascii="仿宋_GB2312" w:hAnsi="方正楷体_GBK" w:eastAsia="仿宋_GB2312" w:cs="方正楷体_GBK"/>
          <w:b/>
          <w:bCs/>
          <w:color w:val="000000" w:themeColor="text1"/>
          <w:sz w:val="32"/>
          <w:szCs w:val="40"/>
          <w:highlight w:val="none"/>
          <w:lang w:val="zh-CN"/>
          <w14:textFill>
            <w14:solidFill>
              <w14:schemeClr w14:val="tx1"/>
            </w14:solidFill>
          </w14:textFill>
        </w:rPr>
      </w:pPr>
      <w:bookmarkStart w:id="25" w:name="_Toc32441"/>
      <w:r>
        <w:rPr>
          <w:rFonts w:hint="eastAsia" w:ascii="楷体_GB2312" w:eastAsia="楷体_GB2312"/>
          <w:b/>
          <w:bCs/>
          <w:color w:val="000000"/>
          <w:sz w:val="32"/>
          <w:szCs w:val="40"/>
          <w:highlight w:val="none"/>
        </w:rPr>
        <w:t>（一）存在的问题</w:t>
      </w:r>
      <w:bookmarkEnd w:id="25"/>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1.项目绩效管理工作不到位</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①中国共产党勐海县委员会组织部未建立执行绩效运行跟踪监控制度、未制定相关绩效考核办法，绩效管理工作开展不到位；</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②未按项目实施内容设置绩效指标，绩效指标与实际工作内容情况不相符，绩效指标设置不合理。如：2019年</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四位一体</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项目设置了</w:t>
      </w:r>
      <w:r>
        <w:rPr>
          <w:rStyle w:val="46"/>
          <w:rFonts w:hint="eastAsia" w:hAnsi="Mongolian Baiti" w:eastAsia="仿宋_GB2312" w:cs="Mongolian Baiti"/>
          <w:highlight w:val="none"/>
          <w:lang w:eastAsia="zh-CN"/>
        </w:rPr>
        <w:t>“</w:t>
      </w:r>
      <w:r>
        <w:rPr>
          <w:rStyle w:val="46"/>
          <w:rFonts w:hint="default" w:hAnsi="Mongolian Baiti" w:cs="Mongolian Baiti"/>
          <w:highlight w:val="none"/>
        </w:rPr>
        <w:t>新建洗手台、新建垃圾中转站及配套设施≥19套</w:t>
      </w:r>
      <w:r>
        <w:rPr>
          <w:rStyle w:val="46"/>
          <w:rFonts w:hint="eastAsia" w:hAnsi="Mongolian Baiti" w:eastAsia="仿宋_GB2312" w:cs="Mongolian Baiti"/>
          <w:highlight w:val="none"/>
          <w:lang w:eastAsia="zh-CN"/>
        </w:rPr>
        <w:t>”</w:t>
      </w:r>
      <w:r>
        <w:rPr>
          <w:rStyle w:val="46"/>
          <w:rFonts w:hAnsi="Mongolian Baiti" w:cs="Mongolian Baiti"/>
          <w:highlight w:val="none"/>
        </w:rPr>
        <w:t>的</w:t>
      </w:r>
      <w:r>
        <w:rPr>
          <w:rStyle w:val="46"/>
          <w:rFonts w:hint="default" w:hAnsi="Mongolian Baiti" w:cs="Mongolian Baiti"/>
          <w:highlight w:val="none"/>
        </w:rPr>
        <w:t>指标</w:t>
      </w:r>
      <w:r>
        <w:rPr>
          <w:rStyle w:val="46"/>
          <w:rFonts w:hAnsi="Mongolian Baiti" w:cs="Mongolian Baiti"/>
          <w:highlight w:val="none"/>
        </w:rPr>
        <w:t>，</w:t>
      </w:r>
      <w:r>
        <w:rPr>
          <w:rStyle w:val="46"/>
          <w:rFonts w:hint="default" w:hAnsi="Mongolian Baiti" w:cs="Mongolian Baiti"/>
          <w:highlight w:val="none"/>
        </w:rPr>
        <w:t>与实际批准建设内容不匹配。</w:t>
      </w:r>
    </w:p>
    <w:p>
      <w:pPr>
        <w:spacing w:line="360" w:lineRule="auto"/>
        <w:ind w:firstLine="640" w:firstLineChars="200"/>
        <w:rPr>
          <w:rStyle w:val="46"/>
          <w:rFonts w:hint="eastAsia" w:hAnsi="Mongolian Baiti" w:eastAsia="仿宋_GB2312" w:cs="Mongolian Baiti"/>
          <w:highlight w:val="none"/>
          <w:lang w:eastAsia="zh-CN"/>
        </w:rPr>
      </w:pPr>
      <w:r>
        <w:rPr>
          <w:rStyle w:val="46"/>
          <w:rFonts w:hint="default" w:hAnsi="Mongolian Baiti" w:cs="Mongolian Baiti"/>
          <w:highlight w:val="none"/>
        </w:rPr>
        <w:t>③所提供的项目绩效支出自评表未按照要求填列指标值度量单位（套、个、平方米等），对项目指标完成情况不好衡量及考核，绩效指标填列不规范</w:t>
      </w:r>
      <w:r>
        <w:rPr>
          <w:rStyle w:val="46"/>
          <w:rFonts w:hint="eastAsia" w:hAnsi="Mongolian Baiti" w:eastAsia="仿宋_GB2312" w:cs="Mongolian Baiti"/>
          <w:highlight w:val="none"/>
          <w:lang w:eastAsia="zh-CN"/>
        </w:rPr>
        <w:t>。</w:t>
      </w:r>
    </w:p>
    <w:p>
      <w:pPr>
        <w:spacing w:line="360" w:lineRule="auto"/>
        <w:ind w:firstLine="640" w:firstLineChars="200"/>
        <w:jc w:val="left"/>
        <w:rPr>
          <w:rStyle w:val="46"/>
          <w:rFonts w:hint="default" w:hAnsi="Mongolian Baiti" w:cs="Mongolian Baiti"/>
          <w:highlight w:val="none"/>
        </w:rPr>
      </w:pPr>
      <w:r>
        <w:rPr>
          <w:rStyle w:val="46"/>
          <w:rFonts w:hint="eastAsia" w:hAnsi="Mongolian Baiti" w:eastAsia="仿宋_GB2312" w:cs="Mongolian Baiti"/>
          <w:highlight w:val="none"/>
          <w:lang w:val="en-US" w:eastAsia="zh-CN"/>
        </w:rPr>
        <w:t>2</w:t>
      </w:r>
      <w:r>
        <w:rPr>
          <w:rStyle w:val="46"/>
          <w:rFonts w:hint="default" w:hAnsi="Mongolian Baiti" w:cs="Mongolian Baiti"/>
          <w:highlight w:val="none"/>
        </w:rPr>
        <w:t>.未按计划时间完成项目建设</w:t>
      </w:r>
    </w:p>
    <w:p>
      <w:pPr>
        <w:spacing w:line="360" w:lineRule="auto"/>
        <w:ind w:firstLine="640" w:firstLineChars="200"/>
        <w:jc w:val="left"/>
        <w:rPr>
          <w:rStyle w:val="46"/>
          <w:rFonts w:hint="default" w:hAnsi="Mongolian Baiti" w:cs="Mongolian Baiti"/>
          <w:color w:val="auto"/>
          <w:highlight w:val="none"/>
        </w:rPr>
      </w:pPr>
      <w:r>
        <w:rPr>
          <w:rStyle w:val="46"/>
          <w:rFonts w:hint="default" w:hAnsi="Mongolian Baiti" w:cs="Mongolian Baiti"/>
          <w:color w:val="auto"/>
          <w:highlight w:val="none"/>
        </w:rPr>
        <w:t>根据提供的开工令、工程合同、完工情况等资料，</w:t>
      </w:r>
      <w:r>
        <w:rPr>
          <w:rStyle w:val="46"/>
          <w:rFonts w:hint="eastAsia" w:hAnsi="Mongolian Baiti" w:eastAsia="仿宋_GB2312" w:cs="Mongolian Baiti"/>
          <w:color w:val="auto"/>
          <w:highlight w:val="none"/>
          <w:lang w:val="en-US" w:eastAsia="zh-CN"/>
        </w:rPr>
        <w:t>因</w:t>
      </w:r>
      <w:r>
        <w:rPr>
          <w:rStyle w:val="46"/>
          <w:rFonts w:hint="default" w:hAnsi="Mongolian Baiti" w:cs="Mongolian Baiti"/>
          <w:color w:val="auto"/>
          <w:highlight w:val="none"/>
        </w:rPr>
        <w:t>雨季影响以及推迟了项目进场施工时间，导致</w:t>
      </w:r>
      <w:r>
        <w:rPr>
          <w:rStyle w:val="46"/>
          <w:rFonts w:hint="eastAsia" w:hAnsi="Mongolian Baiti" w:eastAsia="仿宋_GB2312" w:cs="Mongolian Baiti"/>
          <w:color w:val="auto"/>
          <w:highlight w:val="none"/>
          <w:lang w:val="en-US" w:eastAsia="zh-CN"/>
        </w:rPr>
        <w:t>部分项目</w:t>
      </w:r>
      <w:r>
        <w:rPr>
          <w:rStyle w:val="46"/>
          <w:rFonts w:hint="default" w:hAnsi="Mongolian Baiti" w:cs="Mongolian Baiti"/>
          <w:color w:val="auto"/>
          <w:highlight w:val="none"/>
        </w:rPr>
        <w:t>未能在计划工期内开工以及完成项目建设</w:t>
      </w:r>
      <w:r>
        <w:rPr>
          <w:rStyle w:val="46"/>
          <w:rFonts w:hint="eastAsia" w:hAnsi="Mongolian Baiti" w:eastAsia="仿宋_GB2312" w:cs="Mongolian Baiti"/>
          <w:color w:val="auto"/>
          <w:highlight w:val="none"/>
          <w:lang w:eastAsia="zh-CN"/>
        </w:rPr>
        <w:t>，</w:t>
      </w:r>
      <w:r>
        <w:rPr>
          <w:rStyle w:val="46"/>
          <w:rFonts w:hint="default" w:hAnsi="Mongolian Baiti" w:cs="Mongolian Baiti"/>
          <w:color w:val="auto"/>
          <w:highlight w:val="none"/>
        </w:rPr>
        <w:t>具体情况见下表：</w:t>
      </w:r>
    </w:p>
    <w:p>
      <w:pPr>
        <w:pStyle w:val="2"/>
        <w:rPr>
          <w:rFonts w:hint="default"/>
        </w:rPr>
      </w:pPr>
      <w:r>
        <w:drawing>
          <wp:inline distT="0" distB="0" distL="114300" distR="114300">
            <wp:extent cx="5681980" cy="1903730"/>
            <wp:effectExtent l="0" t="0" r="762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681980" cy="1903730"/>
                    </a:xfrm>
                    <a:prstGeom prst="rect">
                      <a:avLst/>
                    </a:prstGeom>
                    <a:noFill/>
                    <a:ln>
                      <a:noFill/>
                    </a:ln>
                  </pic:spPr>
                </pic:pic>
              </a:graphicData>
            </a:graphic>
          </wp:inline>
        </w:drawing>
      </w:r>
    </w:p>
    <w:p>
      <w:pPr>
        <w:ind w:firstLine="640" w:firstLineChars="200"/>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val="en-US" w:eastAsia="zh-CN"/>
        </w:rPr>
        <w:t>3</w:t>
      </w:r>
      <w:r>
        <w:rPr>
          <w:rFonts w:hint="eastAsia" w:ascii="仿宋_GB2312" w:hAnsi="仿宋" w:eastAsia="仿宋_GB2312"/>
          <w:sz w:val="32"/>
          <w:szCs w:val="32"/>
          <w:highlight w:val="none"/>
        </w:rPr>
        <w:t>.项目未按规定时间进行工程结算审计以及开展竣工财务决算报表的编制工作</w:t>
      </w:r>
    </w:p>
    <w:p>
      <w:pPr>
        <w:ind w:firstLine="640" w:firstLineChars="200"/>
        <w:rPr>
          <w:rFonts w:ascii="仿宋_GB2312" w:hAnsi="仿宋" w:eastAsia="仿宋_GB2312"/>
          <w:sz w:val="32"/>
          <w:szCs w:val="32"/>
          <w:highlight w:val="none"/>
        </w:rPr>
      </w:pPr>
      <w:r>
        <w:rPr>
          <w:rFonts w:hint="eastAsia" w:ascii="仿宋_GB2312" w:hAnsi="仿宋" w:eastAsia="仿宋_GB2312"/>
          <w:sz w:val="32"/>
          <w:szCs w:val="32"/>
          <w:highlight w:val="none"/>
        </w:rPr>
        <w:t>经审核，2020-2021年“四位一体”项目尚未按照《建设工程价款结算暂行办法》以及《基本建设项目竣工财务决算管理暂行办法》（财建〔2016〕503号）的规定及时开展工程结算审计以及项目竣工财务决算报表编制工作，不利于项目成本的最终认定。</w:t>
      </w:r>
    </w:p>
    <w:p>
      <w:pPr>
        <w:spacing w:line="360" w:lineRule="auto"/>
        <w:ind w:firstLine="640" w:firstLineChars="200"/>
        <w:rPr>
          <w:rFonts w:ascii="仿宋_GB2312" w:eastAsia="仿宋_GB2312" w:cs="Courier New"/>
          <w:color w:val="000000" w:themeColor="text1"/>
          <w:kern w:val="0"/>
          <w:sz w:val="32"/>
          <w:szCs w:val="32"/>
          <w:highlight w:val="none"/>
          <w14:textFill>
            <w14:solidFill>
              <w14:schemeClr w14:val="tx1"/>
            </w14:solidFill>
          </w14:textFill>
        </w:rPr>
      </w:pPr>
      <w:r>
        <w:rPr>
          <w:rFonts w:hint="eastAsia" w:ascii="仿宋_GB2312" w:eastAsia="仿宋_GB2312" w:cs="Courier New"/>
          <w:color w:val="000000" w:themeColor="text1"/>
          <w:kern w:val="0"/>
          <w:sz w:val="32"/>
          <w:szCs w:val="32"/>
          <w:highlight w:val="none"/>
          <w:lang w:val="en-US" w:eastAsia="zh-CN"/>
          <w14:textFill>
            <w14:solidFill>
              <w14:schemeClr w14:val="tx1"/>
            </w14:solidFill>
          </w14:textFill>
        </w:rPr>
        <w:t>4</w:t>
      </w:r>
      <w:r>
        <w:rPr>
          <w:rFonts w:hint="eastAsia" w:ascii="仿宋_GB2312" w:eastAsia="仿宋_GB2312" w:cs="Courier New"/>
          <w:color w:val="000000" w:themeColor="text1"/>
          <w:kern w:val="0"/>
          <w:sz w:val="32"/>
          <w:szCs w:val="32"/>
          <w:highlight w:val="none"/>
          <w14:textFill>
            <w14:solidFill>
              <w14:schemeClr w14:val="tx1"/>
            </w14:solidFill>
          </w14:textFill>
        </w:rPr>
        <w:t>.项目档案管理不规范</w:t>
      </w:r>
    </w:p>
    <w:p>
      <w:pPr>
        <w:spacing w:line="360" w:lineRule="auto"/>
        <w:ind w:firstLine="640" w:firstLineChars="200"/>
        <w:rPr>
          <w:rFonts w:hint="eastAsia" w:ascii="仿宋_GB2312" w:hAnsi="仿宋" w:eastAsia="仿宋_GB2312"/>
          <w:sz w:val="32"/>
          <w:szCs w:val="32"/>
          <w:highlight w:val="none"/>
        </w:rPr>
      </w:pPr>
      <w:r>
        <w:rPr>
          <w:rFonts w:hint="eastAsia" w:ascii="仿宋_GB2312" w:eastAsia="仿宋_GB2312" w:cs="Courier New"/>
          <w:color w:val="000000" w:themeColor="text1"/>
          <w:kern w:val="0"/>
          <w:sz w:val="32"/>
          <w:szCs w:val="32"/>
          <w:highlight w:val="none"/>
          <w14:textFill>
            <w14:solidFill>
              <w14:schemeClr w14:val="tx1"/>
            </w14:solidFill>
          </w14:textFill>
        </w:rPr>
        <w:t>根据现场审计以及绩效资料提供情况，单位存在项目档案资料未归集、统一管理；项目人员变动频繁，资料交接程序不到位，资料混乱等的情况。</w:t>
      </w:r>
      <w:r>
        <w:rPr>
          <w:rFonts w:hint="eastAsia" w:ascii="仿宋_GB2312" w:eastAsia="仿宋_GB2312" w:cs="Courier New"/>
          <w:color w:val="000000" w:themeColor="text1"/>
          <w:kern w:val="0"/>
          <w:sz w:val="32"/>
          <w:szCs w:val="32"/>
          <w:highlight w:val="none"/>
          <w:lang w:eastAsia="zh-CN"/>
          <w14:textFill>
            <w14:solidFill>
              <w14:schemeClr w14:val="tx1"/>
            </w14:solidFill>
          </w14:textFill>
        </w:rPr>
        <w:t>截至目前</w:t>
      </w:r>
      <w:r>
        <w:rPr>
          <w:rFonts w:hint="eastAsia" w:ascii="仿宋_GB2312" w:eastAsia="仿宋_GB2312" w:cs="Courier New"/>
          <w:color w:val="000000" w:themeColor="text1"/>
          <w:kern w:val="0"/>
          <w:sz w:val="32"/>
          <w:szCs w:val="32"/>
          <w:highlight w:val="none"/>
          <w14:textFill>
            <w14:solidFill>
              <w14:schemeClr w14:val="tx1"/>
            </w14:solidFill>
          </w14:textFill>
        </w:rPr>
        <w:t>，尚未提供2021年“四位一体”项目完工验收资料等。</w:t>
      </w:r>
    </w:p>
    <w:p>
      <w:pPr>
        <w:pStyle w:val="5"/>
        <w:spacing w:before="0" w:after="0" w:line="360" w:lineRule="auto"/>
        <w:ind w:firstLine="643" w:firstLineChars="200"/>
        <w:rPr>
          <w:rFonts w:ascii="仿宋_GB2312" w:hAnsi="方正楷体_GBK" w:eastAsia="仿宋_GB2312" w:cs="方正楷体_GBK"/>
          <w:highlight w:val="none"/>
          <w:lang w:val="zh-CN"/>
        </w:rPr>
      </w:pPr>
      <w:bookmarkStart w:id="26" w:name="_Toc8894"/>
      <w:r>
        <w:rPr>
          <w:rFonts w:hint="eastAsia" w:ascii="楷体_GB2312" w:eastAsia="楷体_GB2312" w:cs="Times New Roman"/>
          <w:color w:val="000000"/>
          <w:highlight w:val="none"/>
        </w:rPr>
        <w:t>（二）建议和改进举措</w:t>
      </w:r>
      <w:bookmarkEnd w:id="26"/>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1.建议项目主管部门及时制定绩效跟踪考核办法等制度，</w:t>
      </w:r>
      <w:r>
        <w:rPr>
          <w:rStyle w:val="46"/>
          <w:rFonts w:hint="default"/>
          <w:highlight w:val="none"/>
        </w:rPr>
        <w:t>健全和完善预算绩效管理全过程监控机制，加强预算执行过程中的绩效运行跟踪监控管理，对绩效目标实现程度和预算执行进度实行</w:t>
      </w:r>
      <w:r>
        <w:rPr>
          <w:rStyle w:val="46"/>
          <w:rFonts w:hint="eastAsia" w:eastAsia="仿宋_GB2312"/>
          <w:highlight w:val="none"/>
          <w:lang w:eastAsia="zh-CN"/>
        </w:rPr>
        <w:t>“</w:t>
      </w:r>
      <w:r>
        <w:rPr>
          <w:rStyle w:val="46"/>
          <w:rFonts w:hint="default"/>
          <w:highlight w:val="none"/>
        </w:rPr>
        <w:t>双监控</w:t>
      </w:r>
      <w:r>
        <w:rPr>
          <w:rStyle w:val="46"/>
          <w:rFonts w:hint="eastAsia" w:eastAsia="仿宋_GB2312"/>
          <w:highlight w:val="none"/>
          <w:lang w:eastAsia="zh-CN"/>
        </w:rPr>
        <w:t>”</w:t>
      </w:r>
      <w:r>
        <w:rPr>
          <w:rStyle w:val="46"/>
          <w:rFonts w:hint="default"/>
          <w:highlight w:val="none"/>
        </w:rPr>
        <w:t>，对发现的问题分析原因并及时整改。</w:t>
      </w:r>
    </w:p>
    <w:p>
      <w:pPr>
        <w:spacing w:line="360" w:lineRule="auto"/>
        <w:ind w:firstLine="640" w:firstLineChars="200"/>
        <w:rPr>
          <w:rStyle w:val="46"/>
          <w:rFonts w:hint="default" w:hAnsi="Mongolian Baiti" w:cs="Mongolian Baiti"/>
          <w:highlight w:val="none"/>
        </w:rPr>
      </w:pPr>
      <w:r>
        <w:rPr>
          <w:rStyle w:val="46"/>
          <w:rFonts w:hint="default" w:hAnsi="Mongolian Baiti" w:cs="Mongolian Baiti"/>
          <w:highlight w:val="none"/>
        </w:rPr>
        <w:t>2.建议单位加强项目资金管理，根据规定专款专用，因特殊情况确需调整专项资金使用单位、变更项目内容或者调整预算的，应当按规定的程序报批。</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3</w:t>
      </w:r>
      <w:r>
        <w:rPr>
          <w:rStyle w:val="46"/>
          <w:rFonts w:hint="default" w:hAnsi="Mongolian Baiti" w:cs="Mongolian Baiti"/>
          <w:highlight w:val="none"/>
        </w:rPr>
        <w:t>.建议单位按照《建设工程价款结算暂行办法》及《基本建设项目竣工财务决算管理暂行办法》的相关规定，及时对完工工程进行工程结算、编制决算报表。</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4</w:t>
      </w:r>
      <w:r>
        <w:rPr>
          <w:rStyle w:val="46"/>
          <w:rFonts w:hint="default" w:hAnsi="Mongolian Baiti" w:cs="Mongolian Baiti"/>
          <w:highlight w:val="none"/>
        </w:rPr>
        <w:t>.建议建设单位加强工程档案管理工作，抓紧汇集工程建设各项资料，将工程档案、资料、文件收集整理齐全，完善相关手续，按规定立卷归档保存。</w:t>
      </w:r>
    </w:p>
    <w:p>
      <w:pPr>
        <w:spacing w:line="360" w:lineRule="auto"/>
        <w:ind w:firstLine="640" w:firstLineChars="200"/>
        <w:rPr>
          <w:rStyle w:val="46"/>
          <w:rFonts w:hint="default" w:hAnsi="Mongolian Baiti" w:cs="Mongolian Baiti"/>
          <w:highlight w:val="none"/>
        </w:rPr>
      </w:pPr>
      <w:r>
        <w:rPr>
          <w:rStyle w:val="46"/>
          <w:rFonts w:hint="eastAsia" w:hAnsi="Mongolian Baiti" w:eastAsia="仿宋_GB2312" w:cs="Mongolian Baiti"/>
          <w:highlight w:val="none"/>
          <w:lang w:val="en-US" w:eastAsia="zh-CN"/>
        </w:rPr>
        <w:t>5</w:t>
      </w:r>
      <w:r>
        <w:rPr>
          <w:rStyle w:val="46"/>
          <w:rFonts w:hint="default" w:hAnsi="Mongolian Baiti" w:cs="Mongolian Baiti"/>
          <w:highlight w:val="none"/>
        </w:rPr>
        <w:t>.建议单位采取业务培训、考察交流、现场指导等形式加强绩效评价相关知识的学习和培训，在实际工作中不断积累经验，不断提高预算绩效管理工作水平和绩效自评工作质量。</w:t>
      </w:r>
    </w:p>
    <w:p>
      <w:pPr>
        <w:rPr>
          <w:rFonts w:hint="eastAsia" w:ascii="仿宋_GB2312" w:eastAsia="仿宋_GB2312"/>
          <w:b/>
          <w:sz w:val="32"/>
          <w:szCs w:val="32"/>
          <w:highlight w:val="none"/>
        </w:rPr>
      </w:pPr>
      <w:bookmarkStart w:id="27" w:name="_Toc11702"/>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p>
    <w:p>
      <w:pPr>
        <w:rPr>
          <w:rFonts w:hint="eastAsia" w:ascii="仿宋_GB2312" w:eastAsia="仿宋_GB2312"/>
          <w:b/>
          <w:sz w:val="32"/>
          <w:szCs w:val="32"/>
          <w:highlight w:val="none"/>
          <w:lang w:eastAsia="zh-CN"/>
        </w:rPr>
      </w:pPr>
      <w:r>
        <w:rPr>
          <w:rFonts w:hint="eastAsia" w:ascii="仿宋_GB2312" w:eastAsia="仿宋_GB2312"/>
          <w:b/>
          <w:sz w:val="32"/>
          <w:szCs w:val="32"/>
          <w:highlight w:val="none"/>
          <w:lang w:eastAsia="zh-CN"/>
        </w:rPr>
        <w:t>（</w:t>
      </w:r>
      <w:r>
        <w:rPr>
          <w:rFonts w:hint="eastAsia" w:ascii="仿宋_GB2312" w:eastAsia="仿宋_GB2312"/>
          <w:b/>
          <w:sz w:val="32"/>
          <w:szCs w:val="32"/>
          <w:highlight w:val="none"/>
          <w:lang w:val="en-US" w:eastAsia="zh-CN"/>
        </w:rPr>
        <w:t>此页无正文</w:t>
      </w:r>
      <w:r>
        <w:rPr>
          <w:rFonts w:hint="eastAsia" w:ascii="仿宋_GB2312" w:eastAsia="仿宋_GB2312"/>
          <w:b/>
          <w:sz w:val="32"/>
          <w:szCs w:val="32"/>
          <w:highlight w:val="none"/>
          <w:lang w:eastAsia="zh-CN"/>
        </w:rPr>
        <w:t>）</w:t>
      </w:r>
    </w:p>
    <w:p>
      <w:pPr>
        <w:pStyle w:val="2"/>
        <w:rPr>
          <w:rFonts w:hint="eastAsia"/>
        </w:rPr>
      </w:pPr>
    </w:p>
    <w:p>
      <w:pPr>
        <w:ind w:firstLine="643" w:firstLineChars="200"/>
        <w:rPr>
          <w:rFonts w:hint="eastAsia" w:ascii="仿宋_GB2312" w:eastAsia="仿宋_GB2312"/>
          <w:b/>
          <w:sz w:val="32"/>
          <w:szCs w:val="32"/>
          <w:highlight w:val="none"/>
        </w:rPr>
      </w:pPr>
    </w:p>
    <w:p>
      <w:pPr>
        <w:ind w:firstLine="643" w:firstLineChars="200"/>
        <w:rPr>
          <w:rFonts w:hint="eastAsia" w:ascii="仿宋_GB2312" w:eastAsia="仿宋_GB2312"/>
          <w:b/>
          <w:sz w:val="32"/>
          <w:szCs w:val="32"/>
          <w:highlight w:val="none"/>
        </w:rPr>
      </w:pPr>
      <w:r>
        <w:rPr>
          <w:rFonts w:hint="eastAsia" w:ascii="仿宋_GB2312" w:eastAsia="仿宋_GB2312"/>
          <w:b/>
          <w:sz w:val="32"/>
          <w:szCs w:val="32"/>
          <w:highlight w:val="none"/>
        </w:rPr>
        <w:t>附件：</w:t>
      </w:r>
      <w:r>
        <w:rPr>
          <w:rFonts w:hint="eastAsia" w:ascii="仿宋_GB2312" w:eastAsia="仿宋_GB2312"/>
          <w:b/>
          <w:sz w:val="32"/>
          <w:szCs w:val="32"/>
          <w:highlight w:val="none"/>
          <w:lang w:val="en-US" w:eastAsia="zh-CN"/>
        </w:rPr>
        <w:t>2019年-2021年打洛镇曼夕村等7个村寨</w:t>
      </w:r>
      <w:r>
        <w:rPr>
          <w:rFonts w:hint="eastAsia" w:ascii="仿宋_GB2312" w:eastAsia="仿宋_GB2312"/>
          <w:b/>
          <w:sz w:val="32"/>
          <w:szCs w:val="32"/>
          <w:highlight w:val="none"/>
        </w:rPr>
        <w:t>边疆党建长廊“四位一体”建设试点项目绩效评价指标及评分表</w:t>
      </w:r>
      <w:bookmarkEnd w:id="27"/>
    </w:p>
    <w:p>
      <w:pPr>
        <w:pStyle w:val="2"/>
        <w:rPr>
          <w:rFonts w:hint="eastAsia" w:ascii="仿宋_GB2312" w:eastAsia="仿宋_GB2312"/>
          <w:b/>
          <w:sz w:val="32"/>
          <w:szCs w:val="32"/>
          <w:highlight w:val="none"/>
        </w:rPr>
      </w:pPr>
    </w:p>
    <w:p>
      <w:pPr>
        <w:pStyle w:val="2"/>
        <w:rPr>
          <w:rFonts w:hint="eastAsia" w:ascii="仿宋_GB2312" w:eastAsia="仿宋_GB2312"/>
          <w:b/>
          <w:sz w:val="32"/>
          <w:szCs w:val="32"/>
          <w:highlight w:val="none"/>
        </w:rPr>
      </w:pPr>
    </w:p>
    <w:p>
      <w:pPr>
        <w:pStyle w:val="2"/>
        <w:rPr>
          <w:rFonts w:hint="eastAsia" w:ascii="仿宋_GB2312" w:eastAsia="仿宋_GB2312"/>
          <w:b/>
          <w:sz w:val="32"/>
          <w:szCs w:val="32"/>
          <w:highlight w:val="none"/>
        </w:rPr>
      </w:pPr>
    </w:p>
    <w:tbl>
      <w:tblPr>
        <w:tblStyle w:val="21"/>
        <w:tblW w:w="7815" w:type="dxa"/>
        <w:jc w:val="center"/>
        <w:tblLayout w:type="fixed"/>
        <w:tblCellMar>
          <w:top w:w="0" w:type="dxa"/>
          <w:left w:w="108" w:type="dxa"/>
          <w:bottom w:w="0" w:type="dxa"/>
          <w:right w:w="108" w:type="dxa"/>
        </w:tblCellMar>
      </w:tblPr>
      <w:tblGrid>
        <w:gridCol w:w="3863"/>
        <w:gridCol w:w="3952"/>
      </w:tblGrid>
      <w:tr>
        <w:trPr>
          <w:jc w:val="center"/>
        </w:trPr>
        <w:tc>
          <w:tcPr>
            <w:tcW w:w="3863" w:type="dxa"/>
            <w:shd w:val="clear" w:color="auto" w:fill="auto"/>
          </w:tcPr>
          <w:p>
            <w:pPr>
              <w:spacing w:line="360" w:lineRule="auto"/>
              <w:rPr>
                <w:rFonts w:ascii="仿宋" w:hAnsi="仿宋" w:eastAsia="仿宋"/>
                <w:b/>
                <w:sz w:val="32"/>
                <w:szCs w:val="32"/>
                <w:highlight w:val="none"/>
              </w:rPr>
            </w:pPr>
          </w:p>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云南信立会计师事务所有限公司</w:t>
            </w:r>
          </w:p>
        </w:tc>
        <w:tc>
          <w:tcPr>
            <w:tcW w:w="3952" w:type="dxa"/>
          </w:tcPr>
          <w:p>
            <w:pPr>
              <w:spacing w:line="360" w:lineRule="auto"/>
              <w:rPr>
                <w:rFonts w:ascii="仿宋" w:hAnsi="仿宋" w:eastAsia="仿宋"/>
                <w:b/>
                <w:sz w:val="32"/>
                <w:szCs w:val="32"/>
                <w:highlight w:val="none"/>
              </w:rPr>
            </w:pPr>
          </w:p>
          <w:p>
            <w:pPr>
              <w:spacing w:line="360" w:lineRule="auto"/>
              <w:rPr>
                <w:rFonts w:ascii="仿宋" w:hAnsi="仿宋" w:eastAsia="仿宋"/>
                <w:b/>
                <w:sz w:val="32"/>
                <w:szCs w:val="32"/>
                <w:highlight w:val="none"/>
              </w:rPr>
            </w:pPr>
            <w:r>
              <w:rPr>
                <w:rFonts w:hint="eastAsia" w:ascii="仿宋" w:hAnsi="仿宋" w:eastAsia="仿宋"/>
                <w:b/>
                <w:sz w:val="32"/>
                <w:szCs w:val="32"/>
                <w:highlight w:val="none"/>
              </w:rPr>
              <w:t xml:space="preserve">  </w:t>
            </w:r>
            <w:r>
              <w:rPr>
                <w:rFonts w:ascii="仿宋" w:hAnsi="仿宋" w:eastAsia="仿宋"/>
                <w:b/>
                <w:sz w:val="32"/>
                <w:szCs w:val="32"/>
                <w:highlight w:val="none"/>
              </w:rPr>
              <w:t xml:space="preserve">  </w:t>
            </w:r>
            <w:r>
              <w:rPr>
                <w:rFonts w:hint="eastAsia" w:ascii="仿宋" w:hAnsi="仿宋" w:eastAsia="仿宋"/>
                <w:b/>
                <w:sz w:val="32"/>
                <w:szCs w:val="32"/>
                <w:highlight w:val="none"/>
              </w:rPr>
              <w:t>中国注册会计师：</w:t>
            </w:r>
          </w:p>
          <w:p>
            <w:pPr>
              <w:spacing w:line="360" w:lineRule="auto"/>
              <w:rPr>
                <w:rFonts w:ascii="仿宋" w:hAnsi="仿宋" w:eastAsia="仿宋"/>
                <w:b/>
                <w:sz w:val="32"/>
                <w:szCs w:val="32"/>
                <w:highlight w:val="none"/>
              </w:rPr>
            </w:pPr>
          </w:p>
        </w:tc>
      </w:tr>
      <w:tr>
        <w:tblPrEx>
          <w:tblCellMar>
            <w:top w:w="0" w:type="dxa"/>
            <w:left w:w="108" w:type="dxa"/>
            <w:bottom w:w="0" w:type="dxa"/>
            <w:right w:w="108" w:type="dxa"/>
          </w:tblCellMar>
        </w:tblPrEx>
        <w:trPr>
          <w:jc w:val="center"/>
        </w:trPr>
        <w:tc>
          <w:tcPr>
            <w:tcW w:w="3863" w:type="dxa"/>
          </w:tcPr>
          <w:p>
            <w:pPr>
              <w:spacing w:line="360" w:lineRule="auto"/>
              <w:jc w:val="center"/>
              <w:rPr>
                <w:rFonts w:ascii="仿宋" w:hAnsi="仿宋" w:eastAsia="仿宋"/>
                <w:b/>
                <w:sz w:val="32"/>
                <w:szCs w:val="32"/>
                <w:highlight w:val="none"/>
              </w:rPr>
            </w:pPr>
          </w:p>
        </w:tc>
        <w:tc>
          <w:tcPr>
            <w:tcW w:w="3952" w:type="dxa"/>
          </w:tcPr>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 xml:space="preserve"> 中国注册会计师：</w:t>
            </w:r>
          </w:p>
        </w:tc>
      </w:tr>
      <w:tr>
        <w:tblPrEx>
          <w:tblCellMar>
            <w:top w:w="0" w:type="dxa"/>
            <w:left w:w="108" w:type="dxa"/>
            <w:bottom w:w="0" w:type="dxa"/>
            <w:right w:w="108" w:type="dxa"/>
          </w:tblCellMar>
        </w:tblPrEx>
        <w:trPr>
          <w:jc w:val="center"/>
        </w:trPr>
        <w:tc>
          <w:tcPr>
            <w:tcW w:w="3863" w:type="dxa"/>
          </w:tcPr>
          <w:p>
            <w:pPr>
              <w:spacing w:line="360" w:lineRule="auto"/>
              <w:rPr>
                <w:rFonts w:ascii="仿宋" w:hAnsi="仿宋" w:eastAsia="仿宋"/>
                <w:b/>
                <w:sz w:val="32"/>
                <w:szCs w:val="32"/>
                <w:highlight w:val="none"/>
              </w:rPr>
            </w:pPr>
          </w:p>
        </w:tc>
        <w:tc>
          <w:tcPr>
            <w:tcW w:w="3952" w:type="dxa"/>
          </w:tcPr>
          <w:p>
            <w:pPr>
              <w:spacing w:line="360" w:lineRule="auto"/>
              <w:rPr>
                <w:rFonts w:ascii="仿宋" w:hAnsi="仿宋" w:eastAsia="仿宋"/>
                <w:b/>
                <w:sz w:val="32"/>
                <w:szCs w:val="32"/>
                <w:highlight w:val="none"/>
              </w:rPr>
            </w:pPr>
          </w:p>
        </w:tc>
      </w:tr>
      <w:tr>
        <w:tblPrEx>
          <w:tblCellMar>
            <w:top w:w="0" w:type="dxa"/>
            <w:left w:w="108" w:type="dxa"/>
            <w:bottom w:w="0" w:type="dxa"/>
            <w:right w:w="108" w:type="dxa"/>
          </w:tblCellMar>
        </w:tblPrEx>
        <w:trPr>
          <w:jc w:val="center"/>
        </w:trPr>
        <w:tc>
          <w:tcPr>
            <w:tcW w:w="3863" w:type="dxa"/>
          </w:tcPr>
          <w:p>
            <w:pPr>
              <w:spacing w:line="360" w:lineRule="auto"/>
              <w:ind w:firstLine="964" w:firstLineChars="300"/>
              <w:rPr>
                <w:rFonts w:ascii="仿宋" w:hAnsi="仿宋" w:eastAsia="仿宋"/>
                <w:b/>
                <w:sz w:val="32"/>
                <w:szCs w:val="32"/>
                <w:highlight w:val="none"/>
              </w:rPr>
            </w:pPr>
            <w:r>
              <w:rPr>
                <w:rFonts w:hint="eastAsia" w:ascii="仿宋" w:hAnsi="仿宋" w:eastAsia="仿宋"/>
                <w:b/>
                <w:sz w:val="32"/>
                <w:szCs w:val="32"/>
                <w:highlight w:val="none"/>
              </w:rPr>
              <w:t>中国·昆明</w:t>
            </w:r>
          </w:p>
        </w:tc>
        <w:tc>
          <w:tcPr>
            <w:tcW w:w="3952" w:type="dxa"/>
          </w:tcPr>
          <w:p>
            <w:pPr>
              <w:spacing w:line="400" w:lineRule="exact"/>
              <w:rPr>
                <w:rFonts w:ascii="仿宋" w:hAnsi="仿宋" w:eastAsia="仿宋"/>
                <w:b/>
                <w:sz w:val="32"/>
                <w:szCs w:val="32"/>
                <w:highlight w:val="none"/>
              </w:rPr>
            </w:pPr>
            <w:r>
              <w:rPr>
                <w:rFonts w:hint="eastAsia" w:ascii="仿宋" w:hAnsi="仿宋" w:eastAsia="仿宋" w:cs="宋体"/>
                <w:b/>
                <w:spacing w:val="6"/>
                <w:sz w:val="32"/>
                <w:szCs w:val="32"/>
                <w:highlight w:val="none"/>
              </w:rPr>
              <w:t>二</w:t>
            </w:r>
            <w:r>
              <w:rPr>
                <w:rFonts w:hint="eastAsia" w:ascii="仿宋" w:hAnsi="仿宋" w:eastAsia="仿宋" w:cs="微软雅黑"/>
                <w:b/>
                <w:spacing w:val="6"/>
                <w:sz w:val="32"/>
                <w:szCs w:val="32"/>
                <w:highlight w:val="none"/>
              </w:rPr>
              <w:t>〇</w:t>
            </w:r>
            <w:r>
              <w:rPr>
                <w:rFonts w:hint="eastAsia" w:ascii="仿宋" w:hAnsi="仿宋" w:eastAsia="仿宋" w:cs="宋体"/>
                <w:b/>
                <w:spacing w:val="6"/>
                <w:sz w:val="32"/>
                <w:szCs w:val="32"/>
                <w:highlight w:val="none"/>
              </w:rPr>
              <w:t>二</w:t>
            </w:r>
            <w:r>
              <w:rPr>
                <w:rFonts w:hint="eastAsia" w:ascii="仿宋" w:hAnsi="仿宋" w:eastAsia="仿宋" w:cs="微软雅黑"/>
                <w:b/>
                <w:spacing w:val="6"/>
                <w:sz w:val="32"/>
                <w:szCs w:val="32"/>
                <w:highlight w:val="none"/>
              </w:rPr>
              <w:t>二</w:t>
            </w:r>
            <w:r>
              <w:rPr>
                <w:rFonts w:hint="eastAsia" w:ascii="仿宋" w:hAnsi="仿宋" w:eastAsia="仿宋" w:cs="宋体"/>
                <w:b/>
                <w:spacing w:val="6"/>
                <w:sz w:val="32"/>
                <w:szCs w:val="32"/>
                <w:highlight w:val="none"/>
              </w:rPr>
              <w:t>年十一月十日</w:t>
            </w:r>
          </w:p>
        </w:tc>
      </w:tr>
    </w:tbl>
    <w:p>
      <w:pPr>
        <w:rPr>
          <w:rFonts w:ascii="仿宋_GB2312" w:eastAsia="仿宋_GB2312"/>
          <w:sz w:val="32"/>
          <w:szCs w:val="32"/>
          <w:highlight w:val="none"/>
        </w:rPr>
      </w:pPr>
    </w:p>
    <w:sectPr>
      <w:headerReference r:id="rId8" w:type="default"/>
      <w:footerReference r:id="rId9" w:type="default"/>
      <w:pgSz w:w="11906" w:h="16838"/>
      <w:pgMar w:top="1361" w:right="1474" w:bottom="1559" w:left="1474" w:header="851" w:footer="115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楷体_GB2312">
    <w:panose1 w:val="02010609030101010101"/>
    <w:charset w:val="86"/>
    <w:family w:val="modern"/>
    <w:pitch w:val="default"/>
    <w:sig w:usb0="00000001" w:usb1="080E0000" w:usb2="00000000" w:usb3="00000000" w:csb0="00040000" w:csb1="00000000"/>
  </w:font>
  <w:font w:name="方正楷体_GBK">
    <w:panose1 w:val="02000000000000000000"/>
    <w:charset w:val="86"/>
    <w:family w:val="auto"/>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left"/>
    </w:pPr>
    <w:r>
      <w:rPr>
        <w:rFonts w:ascii="仿宋_GB2312"/>
        <w:sz w:val="10"/>
      </w:rPr>
      <w:drawing>
        <wp:inline distT="0" distB="0" distL="0" distR="0">
          <wp:extent cx="2057400" cy="381000"/>
          <wp:effectExtent l="0" t="0" r="0" b="0"/>
          <wp:docPr id="6" name="图片 6" descr="LOGO - 副本"/>
          <wp:cNvGraphicFramePr/>
          <a:graphic xmlns:a="http://schemas.openxmlformats.org/drawingml/2006/main">
            <a:graphicData uri="http://schemas.openxmlformats.org/drawingml/2006/picture">
              <pic:pic xmlns:pic="http://schemas.openxmlformats.org/drawingml/2006/picture">
                <pic:nvPicPr>
                  <pic:cNvPr id="6" name="图片 6" descr="LOGO - 副本"/>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057400"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CD6A20"/>
    <w:multiLevelType w:val="singleLevel"/>
    <w:tmpl w:val="78CD6A2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3MGM1YjNjNWMyZWY1MTZjYTNjYzlmYzhkYThjNzMifQ=="/>
  </w:docVars>
  <w:rsids>
    <w:rsidRoot w:val="00072A5E"/>
    <w:rsid w:val="000017F7"/>
    <w:rsid w:val="000032EE"/>
    <w:rsid w:val="000065AF"/>
    <w:rsid w:val="00006E33"/>
    <w:rsid w:val="000104CF"/>
    <w:rsid w:val="00010561"/>
    <w:rsid w:val="00010CC3"/>
    <w:rsid w:val="00021063"/>
    <w:rsid w:val="00025C35"/>
    <w:rsid w:val="000265ED"/>
    <w:rsid w:val="00034AF2"/>
    <w:rsid w:val="00034C8F"/>
    <w:rsid w:val="000378DE"/>
    <w:rsid w:val="00037CC1"/>
    <w:rsid w:val="00041B14"/>
    <w:rsid w:val="0005041F"/>
    <w:rsid w:val="00050BB4"/>
    <w:rsid w:val="00050E63"/>
    <w:rsid w:val="00051E85"/>
    <w:rsid w:val="000520AE"/>
    <w:rsid w:val="00053B0C"/>
    <w:rsid w:val="000549A0"/>
    <w:rsid w:val="00057675"/>
    <w:rsid w:val="00057F0C"/>
    <w:rsid w:val="000602BD"/>
    <w:rsid w:val="00061EEE"/>
    <w:rsid w:val="000620C7"/>
    <w:rsid w:val="0006697C"/>
    <w:rsid w:val="000677BE"/>
    <w:rsid w:val="000701FA"/>
    <w:rsid w:val="00072A5E"/>
    <w:rsid w:val="00077220"/>
    <w:rsid w:val="00080484"/>
    <w:rsid w:val="00081915"/>
    <w:rsid w:val="00083D65"/>
    <w:rsid w:val="000840FC"/>
    <w:rsid w:val="00085386"/>
    <w:rsid w:val="00087616"/>
    <w:rsid w:val="000963CA"/>
    <w:rsid w:val="00096F35"/>
    <w:rsid w:val="000A187F"/>
    <w:rsid w:val="000A6E71"/>
    <w:rsid w:val="000B04B5"/>
    <w:rsid w:val="000B09CE"/>
    <w:rsid w:val="000B42AD"/>
    <w:rsid w:val="000B56BF"/>
    <w:rsid w:val="000B619B"/>
    <w:rsid w:val="000B6600"/>
    <w:rsid w:val="000C1840"/>
    <w:rsid w:val="000C24AD"/>
    <w:rsid w:val="000C2E9F"/>
    <w:rsid w:val="000C5945"/>
    <w:rsid w:val="000D242B"/>
    <w:rsid w:val="000D2A12"/>
    <w:rsid w:val="000D2EE3"/>
    <w:rsid w:val="000D4BB6"/>
    <w:rsid w:val="000D6E1D"/>
    <w:rsid w:val="000D789D"/>
    <w:rsid w:val="000E39A3"/>
    <w:rsid w:val="000E3D90"/>
    <w:rsid w:val="000F5DBF"/>
    <w:rsid w:val="00100B99"/>
    <w:rsid w:val="001036AE"/>
    <w:rsid w:val="00111553"/>
    <w:rsid w:val="00113424"/>
    <w:rsid w:val="00113438"/>
    <w:rsid w:val="0011507A"/>
    <w:rsid w:val="001165E9"/>
    <w:rsid w:val="00121E12"/>
    <w:rsid w:val="001358A7"/>
    <w:rsid w:val="00143A35"/>
    <w:rsid w:val="00144DD9"/>
    <w:rsid w:val="0014531B"/>
    <w:rsid w:val="0015128B"/>
    <w:rsid w:val="00154E49"/>
    <w:rsid w:val="00156A5D"/>
    <w:rsid w:val="00170B68"/>
    <w:rsid w:val="00171594"/>
    <w:rsid w:val="001769FF"/>
    <w:rsid w:val="001807F0"/>
    <w:rsid w:val="0018135B"/>
    <w:rsid w:val="001838CA"/>
    <w:rsid w:val="0018422D"/>
    <w:rsid w:val="00184882"/>
    <w:rsid w:val="00185EFC"/>
    <w:rsid w:val="00187B67"/>
    <w:rsid w:val="00196E7D"/>
    <w:rsid w:val="00197715"/>
    <w:rsid w:val="001A1632"/>
    <w:rsid w:val="001A25D0"/>
    <w:rsid w:val="001A5057"/>
    <w:rsid w:val="001A52C6"/>
    <w:rsid w:val="001A6A57"/>
    <w:rsid w:val="001B08A5"/>
    <w:rsid w:val="001B0C30"/>
    <w:rsid w:val="001B0F8E"/>
    <w:rsid w:val="001B1CA2"/>
    <w:rsid w:val="001B354A"/>
    <w:rsid w:val="001B6941"/>
    <w:rsid w:val="001D53B0"/>
    <w:rsid w:val="001D62D9"/>
    <w:rsid w:val="001E05BF"/>
    <w:rsid w:val="001E089E"/>
    <w:rsid w:val="001E3E3C"/>
    <w:rsid w:val="001E428E"/>
    <w:rsid w:val="001E612D"/>
    <w:rsid w:val="001F37A3"/>
    <w:rsid w:val="001F443B"/>
    <w:rsid w:val="00204C25"/>
    <w:rsid w:val="00205B58"/>
    <w:rsid w:val="00207151"/>
    <w:rsid w:val="0020754D"/>
    <w:rsid w:val="00210227"/>
    <w:rsid w:val="00214EB2"/>
    <w:rsid w:val="00215A57"/>
    <w:rsid w:val="00221A3A"/>
    <w:rsid w:val="0022394B"/>
    <w:rsid w:val="00223AE9"/>
    <w:rsid w:val="00224B57"/>
    <w:rsid w:val="00231425"/>
    <w:rsid w:val="00232001"/>
    <w:rsid w:val="002419D5"/>
    <w:rsid w:val="00241DF1"/>
    <w:rsid w:val="00246B51"/>
    <w:rsid w:val="00255A92"/>
    <w:rsid w:val="00260090"/>
    <w:rsid w:val="00265A23"/>
    <w:rsid w:val="002672F4"/>
    <w:rsid w:val="00274E09"/>
    <w:rsid w:val="002835D7"/>
    <w:rsid w:val="00284793"/>
    <w:rsid w:val="00290026"/>
    <w:rsid w:val="0029250C"/>
    <w:rsid w:val="00296F83"/>
    <w:rsid w:val="002A1E35"/>
    <w:rsid w:val="002A30B7"/>
    <w:rsid w:val="002A4166"/>
    <w:rsid w:val="002B0186"/>
    <w:rsid w:val="002B10C5"/>
    <w:rsid w:val="002B11AE"/>
    <w:rsid w:val="002B1B5D"/>
    <w:rsid w:val="002B2EAD"/>
    <w:rsid w:val="002C41A4"/>
    <w:rsid w:val="002D079B"/>
    <w:rsid w:val="002D15F2"/>
    <w:rsid w:val="002D75AE"/>
    <w:rsid w:val="002E02BF"/>
    <w:rsid w:val="002E0A09"/>
    <w:rsid w:val="002E44F8"/>
    <w:rsid w:val="002E669C"/>
    <w:rsid w:val="002E6DFA"/>
    <w:rsid w:val="002F1CC9"/>
    <w:rsid w:val="002F2FDC"/>
    <w:rsid w:val="002F5754"/>
    <w:rsid w:val="002F7518"/>
    <w:rsid w:val="00304854"/>
    <w:rsid w:val="00304934"/>
    <w:rsid w:val="003121F8"/>
    <w:rsid w:val="003229FC"/>
    <w:rsid w:val="003238C4"/>
    <w:rsid w:val="003270E2"/>
    <w:rsid w:val="00327E2D"/>
    <w:rsid w:val="00331C81"/>
    <w:rsid w:val="00334523"/>
    <w:rsid w:val="00337D0E"/>
    <w:rsid w:val="0034150F"/>
    <w:rsid w:val="00341CA2"/>
    <w:rsid w:val="0034268B"/>
    <w:rsid w:val="0034514A"/>
    <w:rsid w:val="00345FCA"/>
    <w:rsid w:val="00352548"/>
    <w:rsid w:val="00352DAA"/>
    <w:rsid w:val="00364B4D"/>
    <w:rsid w:val="00364EE1"/>
    <w:rsid w:val="00370C44"/>
    <w:rsid w:val="0037288D"/>
    <w:rsid w:val="00376B89"/>
    <w:rsid w:val="00377AD6"/>
    <w:rsid w:val="00377D5F"/>
    <w:rsid w:val="0038320D"/>
    <w:rsid w:val="00393F62"/>
    <w:rsid w:val="00394F61"/>
    <w:rsid w:val="00395A84"/>
    <w:rsid w:val="003A0657"/>
    <w:rsid w:val="003A39DB"/>
    <w:rsid w:val="003B2700"/>
    <w:rsid w:val="003B4EEA"/>
    <w:rsid w:val="003B59DA"/>
    <w:rsid w:val="003B6049"/>
    <w:rsid w:val="003B7CB8"/>
    <w:rsid w:val="003C35D0"/>
    <w:rsid w:val="003D49F6"/>
    <w:rsid w:val="003D6428"/>
    <w:rsid w:val="003D6B95"/>
    <w:rsid w:val="003D6D47"/>
    <w:rsid w:val="003E236B"/>
    <w:rsid w:val="003E5350"/>
    <w:rsid w:val="003E6013"/>
    <w:rsid w:val="003F3A45"/>
    <w:rsid w:val="00400355"/>
    <w:rsid w:val="0040061E"/>
    <w:rsid w:val="004019DC"/>
    <w:rsid w:val="00402DA2"/>
    <w:rsid w:val="00405632"/>
    <w:rsid w:val="00411444"/>
    <w:rsid w:val="00412CF4"/>
    <w:rsid w:val="00416E33"/>
    <w:rsid w:val="004175DC"/>
    <w:rsid w:val="0042047B"/>
    <w:rsid w:val="0042277B"/>
    <w:rsid w:val="00422DAB"/>
    <w:rsid w:val="004241BA"/>
    <w:rsid w:val="0042440B"/>
    <w:rsid w:val="0042516F"/>
    <w:rsid w:val="004278CF"/>
    <w:rsid w:val="00427AF2"/>
    <w:rsid w:val="004322E7"/>
    <w:rsid w:val="00432451"/>
    <w:rsid w:val="0043316F"/>
    <w:rsid w:val="004367BD"/>
    <w:rsid w:val="004465F0"/>
    <w:rsid w:val="004506ED"/>
    <w:rsid w:val="00450C4B"/>
    <w:rsid w:val="00450ED7"/>
    <w:rsid w:val="00450F9F"/>
    <w:rsid w:val="004518F9"/>
    <w:rsid w:val="00452ADB"/>
    <w:rsid w:val="00464E76"/>
    <w:rsid w:val="004665AF"/>
    <w:rsid w:val="00466F4C"/>
    <w:rsid w:val="00467A38"/>
    <w:rsid w:val="00467B02"/>
    <w:rsid w:val="00471558"/>
    <w:rsid w:val="00473360"/>
    <w:rsid w:val="00480381"/>
    <w:rsid w:val="00480860"/>
    <w:rsid w:val="0048422D"/>
    <w:rsid w:val="00491067"/>
    <w:rsid w:val="004954DC"/>
    <w:rsid w:val="004A1029"/>
    <w:rsid w:val="004A5550"/>
    <w:rsid w:val="004A64F7"/>
    <w:rsid w:val="004B3A88"/>
    <w:rsid w:val="004B6C4C"/>
    <w:rsid w:val="004B7487"/>
    <w:rsid w:val="004C0484"/>
    <w:rsid w:val="004C0591"/>
    <w:rsid w:val="004C3AF0"/>
    <w:rsid w:val="004D0147"/>
    <w:rsid w:val="004D0A7A"/>
    <w:rsid w:val="004D0B7E"/>
    <w:rsid w:val="004D5914"/>
    <w:rsid w:val="004D7A9D"/>
    <w:rsid w:val="004E1AD7"/>
    <w:rsid w:val="004E3955"/>
    <w:rsid w:val="004E3ADB"/>
    <w:rsid w:val="004E5644"/>
    <w:rsid w:val="004E613D"/>
    <w:rsid w:val="004E73FD"/>
    <w:rsid w:val="004E7FFD"/>
    <w:rsid w:val="004F441D"/>
    <w:rsid w:val="00500C08"/>
    <w:rsid w:val="00502FEC"/>
    <w:rsid w:val="00506B03"/>
    <w:rsid w:val="005130EF"/>
    <w:rsid w:val="005131A9"/>
    <w:rsid w:val="005135CA"/>
    <w:rsid w:val="0051424E"/>
    <w:rsid w:val="005162BE"/>
    <w:rsid w:val="0051643F"/>
    <w:rsid w:val="00517845"/>
    <w:rsid w:val="00517B41"/>
    <w:rsid w:val="00522217"/>
    <w:rsid w:val="00522BED"/>
    <w:rsid w:val="00524B39"/>
    <w:rsid w:val="00526E28"/>
    <w:rsid w:val="00532F85"/>
    <w:rsid w:val="005353A7"/>
    <w:rsid w:val="00535FB3"/>
    <w:rsid w:val="005412A8"/>
    <w:rsid w:val="00544169"/>
    <w:rsid w:val="00546983"/>
    <w:rsid w:val="00550DB7"/>
    <w:rsid w:val="00554337"/>
    <w:rsid w:val="00561949"/>
    <w:rsid w:val="00563074"/>
    <w:rsid w:val="00563F36"/>
    <w:rsid w:val="00564FB4"/>
    <w:rsid w:val="005656CE"/>
    <w:rsid w:val="005714EF"/>
    <w:rsid w:val="0057495A"/>
    <w:rsid w:val="00575323"/>
    <w:rsid w:val="00576B19"/>
    <w:rsid w:val="005806DD"/>
    <w:rsid w:val="0058107C"/>
    <w:rsid w:val="00581A75"/>
    <w:rsid w:val="00582C76"/>
    <w:rsid w:val="005957B9"/>
    <w:rsid w:val="00596DEB"/>
    <w:rsid w:val="005A43D4"/>
    <w:rsid w:val="005A6142"/>
    <w:rsid w:val="005B34F5"/>
    <w:rsid w:val="005B424B"/>
    <w:rsid w:val="005C7269"/>
    <w:rsid w:val="005D520D"/>
    <w:rsid w:val="005D5463"/>
    <w:rsid w:val="005D6DAC"/>
    <w:rsid w:val="005D76EE"/>
    <w:rsid w:val="005E201D"/>
    <w:rsid w:val="005E4610"/>
    <w:rsid w:val="005E587B"/>
    <w:rsid w:val="005E700C"/>
    <w:rsid w:val="005F0792"/>
    <w:rsid w:val="005F0870"/>
    <w:rsid w:val="005F1C6E"/>
    <w:rsid w:val="005F4138"/>
    <w:rsid w:val="005F5923"/>
    <w:rsid w:val="00601181"/>
    <w:rsid w:val="006022D5"/>
    <w:rsid w:val="00602E46"/>
    <w:rsid w:val="0060777A"/>
    <w:rsid w:val="00610D08"/>
    <w:rsid w:val="006121FB"/>
    <w:rsid w:val="00613DC4"/>
    <w:rsid w:val="00623757"/>
    <w:rsid w:val="00625FBB"/>
    <w:rsid w:val="00627917"/>
    <w:rsid w:val="00627AE5"/>
    <w:rsid w:val="00630395"/>
    <w:rsid w:val="006351A2"/>
    <w:rsid w:val="00636DD1"/>
    <w:rsid w:val="00642064"/>
    <w:rsid w:val="006421F2"/>
    <w:rsid w:val="00643FF3"/>
    <w:rsid w:val="006452F3"/>
    <w:rsid w:val="00655944"/>
    <w:rsid w:val="00656CD3"/>
    <w:rsid w:val="006640C2"/>
    <w:rsid w:val="00664216"/>
    <w:rsid w:val="00665F3E"/>
    <w:rsid w:val="006713C5"/>
    <w:rsid w:val="0067381F"/>
    <w:rsid w:val="00674975"/>
    <w:rsid w:val="00675560"/>
    <w:rsid w:val="006774CB"/>
    <w:rsid w:val="006817FD"/>
    <w:rsid w:val="00683A81"/>
    <w:rsid w:val="00684BDB"/>
    <w:rsid w:val="00685403"/>
    <w:rsid w:val="0068713B"/>
    <w:rsid w:val="00687A4F"/>
    <w:rsid w:val="00687ABC"/>
    <w:rsid w:val="006967BD"/>
    <w:rsid w:val="006A1A1E"/>
    <w:rsid w:val="006A63ED"/>
    <w:rsid w:val="006B0132"/>
    <w:rsid w:val="006B07E6"/>
    <w:rsid w:val="006B27C2"/>
    <w:rsid w:val="006B4EAD"/>
    <w:rsid w:val="006D6858"/>
    <w:rsid w:val="006E7F66"/>
    <w:rsid w:val="006F292E"/>
    <w:rsid w:val="006F3B7D"/>
    <w:rsid w:val="006F5954"/>
    <w:rsid w:val="006F6A15"/>
    <w:rsid w:val="006F7444"/>
    <w:rsid w:val="006F7A6E"/>
    <w:rsid w:val="007006D4"/>
    <w:rsid w:val="0071025D"/>
    <w:rsid w:val="0071254E"/>
    <w:rsid w:val="007140ED"/>
    <w:rsid w:val="007145E7"/>
    <w:rsid w:val="00714C5B"/>
    <w:rsid w:val="00715976"/>
    <w:rsid w:val="007204F8"/>
    <w:rsid w:val="0072084E"/>
    <w:rsid w:val="00726681"/>
    <w:rsid w:val="00727CF0"/>
    <w:rsid w:val="00731428"/>
    <w:rsid w:val="0073513F"/>
    <w:rsid w:val="0073546C"/>
    <w:rsid w:val="00735BCE"/>
    <w:rsid w:val="00736DBC"/>
    <w:rsid w:val="00737180"/>
    <w:rsid w:val="00737E78"/>
    <w:rsid w:val="00737F2F"/>
    <w:rsid w:val="00740D20"/>
    <w:rsid w:val="00741F38"/>
    <w:rsid w:val="00744527"/>
    <w:rsid w:val="00746E35"/>
    <w:rsid w:val="007534E3"/>
    <w:rsid w:val="00756CEE"/>
    <w:rsid w:val="00760AB8"/>
    <w:rsid w:val="00765106"/>
    <w:rsid w:val="00772020"/>
    <w:rsid w:val="007724DD"/>
    <w:rsid w:val="00773DF5"/>
    <w:rsid w:val="00775D40"/>
    <w:rsid w:val="00776304"/>
    <w:rsid w:val="007824A1"/>
    <w:rsid w:val="007872B4"/>
    <w:rsid w:val="007877C7"/>
    <w:rsid w:val="00794DEC"/>
    <w:rsid w:val="0079760E"/>
    <w:rsid w:val="007A5F7C"/>
    <w:rsid w:val="007B06AF"/>
    <w:rsid w:val="007B2646"/>
    <w:rsid w:val="007B486A"/>
    <w:rsid w:val="007B7687"/>
    <w:rsid w:val="007C37F4"/>
    <w:rsid w:val="007C53FB"/>
    <w:rsid w:val="007C6441"/>
    <w:rsid w:val="007C691A"/>
    <w:rsid w:val="007D07C5"/>
    <w:rsid w:val="007D2BD9"/>
    <w:rsid w:val="007D3F22"/>
    <w:rsid w:val="007D41F7"/>
    <w:rsid w:val="007D60E6"/>
    <w:rsid w:val="007D7FE5"/>
    <w:rsid w:val="007E451A"/>
    <w:rsid w:val="007E5FD2"/>
    <w:rsid w:val="007E61BE"/>
    <w:rsid w:val="007F0AD2"/>
    <w:rsid w:val="007F2334"/>
    <w:rsid w:val="007F38F6"/>
    <w:rsid w:val="007F5287"/>
    <w:rsid w:val="00803339"/>
    <w:rsid w:val="00803CC1"/>
    <w:rsid w:val="008151D9"/>
    <w:rsid w:val="008212F6"/>
    <w:rsid w:val="00822CA5"/>
    <w:rsid w:val="008246B1"/>
    <w:rsid w:val="0082482A"/>
    <w:rsid w:val="00831340"/>
    <w:rsid w:val="00832067"/>
    <w:rsid w:val="008358D5"/>
    <w:rsid w:val="00836576"/>
    <w:rsid w:val="008413E3"/>
    <w:rsid w:val="00845DFD"/>
    <w:rsid w:val="008513EC"/>
    <w:rsid w:val="00862947"/>
    <w:rsid w:val="00862E76"/>
    <w:rsid w:val="00865EAE"/>
    <w:rsid w:val="00866EB2"/>
    <w:rsid w:val="008758AD"/>
    <w:rsid w:val="00875D08"/>
    <w:rsid w:val="00875D22"/>
    <w:rsid w:val="00876098"/>
    <w:rsid w:val="00880571"/>
    <w:rsid w:val="00881C2B"/>
    <w:rsid w:val="00884A12"/>
    <w:rsid w:val="0089044F"/>
    <w:rsid w:val="0089117D"/>
    <w:rsid w:val="008913FB"/>
    <w:rsid w:val="00892132"/>
    <w:rsid w:val="00893B93"/>
    <w:rsid w:val="0089472F"/>
    <w:rsid w:val="008A210F"/>
    <w:rsid w:val="008B054E"/>
    <w:rsid w:val="008B5EB8"/>
    <w:rsid w:val="008C17E8"/>
    <w:rsid w:val="008C18C2"/>
    <w:rsid w:val="008C67F2"/>
    <w:rsid w:val="008D0194"/>
    <w:rsid w:val="008D08EF"/>
    <w:rsid w:val="008D0F5F"/>
    <w:rsid w:val="008D1C69"/>
    <w:rsid w:val="008D248B"/>
    <w:rsid w:val="008D2911"/>
    <w:rsid w:val="008F0617"/>
    <w:rsid w:val="008F0BF9"/>
    <w:rsid w:val="008F0E98"/>
    <w:rsid w:val="008F1FCE"/>
    <w:rsid w:val="008F4D89"/>
    <w:rsid w:val="008F746C"/>
    <w:rsid w:val="00900590"/>
    <w:rsid w:val="0090063F"/>
    <w:rsid w:val="009014B9"/>
    <w:rsid w:val="00902534"/>
    <w:rsid w:val="0090297C"/>
    <w:rsid w:val="00905FB2"/>
    <w:rsid w:val="00907428"/>
    <w:rsid w:val="009134BE"/>
    <w:rsid w:val="00914991"/>
    <w:rsid w:val="00916216"/>
    <w:rsid w:val="009167E1"/>
    <w:rsid w:val="0092381A"/>
    <w:rsid w:val="0092521E"/>
    <w:rsid w:val="00925880"/>
    <w:rsid w:val="00931F16"/>
    <w:rsid w:val="0093740F"/>
    <w:rsid w:val="00940B0F"/>
    <w:rsid w:val="00940DB1"/>
    <w:rsid w:val="00944C7A"/>
    <w:rsid w:val="00945F06"/>
    <w:rsid w:val="009505C0"/>
    <w:rsid w:val="009517A3"/>
    <w:rsid w:val="00951880"/>
    <w:rsid w:val="00952E36"/>
    <w:rsid w:val="0095441A"/>
    <w:rsid w:val="009641E7"/>
    <w:rsid w:val="0096556C"/>
    <w:rsid w:val="009661A6"/>
    <w:rsid w:val="00967857"/>
    <w:rsid w:val="009679E5"/>
    <w:rsid w:val="0097046D"/>
    <w:rsid w:val="009711F5"/>
    <w:rsid w:val="00971737"/>
    <w:rsid w:val="00975274"/>
    <w:rsid w:val="00980DB6"/>
    <w:rsid w:val="00984172"/>
    <w:rsid w:val="00986C27"/>
    <w:rsid w:val="00991F32"/>
    <w:rsid w:val="009949CB"/>
    <w:rsid w:val="00994A4C"/>
    <w:rsid w:val="0099540D"/>
    <w:rsid w:val="00996323"/>
    <w:rsid w:val="0099714E"/>
    <w:rsid w:val="009A5C1C"/>
    <w:rsid w:val="009A609A"/>
    <w:rsid w:val="009B17B1"/>
    <w:rsid w:val="009B185B"/>
    <w:rsid w:val="009B4F3F"/>
    <w:rsid w:val="009B60C6"/>
    <w:rsid w:val="009C1291"/>
    <w:rsid w:val="009C20A3"/>
    <w:rsid w:val="009C3040"/>
    <w:rsid w:val="009C4820"/>
    <w:rsid w:val="009C6BEB"/>
    <w:rsid w:val="009D60F1"/>
    <w:rsid w:val="009E1519"/>
    <w:rsid w:val="009E1933"/>
    <w:rsid w:val="009E28DD"/>
    <w:rsid w:val="009E6A44"/>
    <w:rsid w:val="009E6C2B"/>
    <w:rsid w:val="009F01B2"/>
    <w:rsid w:val="009F4433"/>
    <w:rsid w:val="009F4906"/>
    <w:rsid w:val="009F6BB6"/>
    <w:rsid w:val="00A05120"/>
    <w:rsid w:val="00A11AC4"/>
    <w:rsid w:val="00A12081"/>
    <w:rsid w:val="00A230CD"/>
    <w:rsid w:val="00A257B3"/>
    <w:rsid w:val="00A25925"/>
    <w:rsid w:val="00A32C13"/>
    <w:rsid w:val="00A33BD4"/>
    <w:rsid w:val="00A36798"/>
    <w:rsid w:val="00A447BF"/>
    <w:rsid w:val="00A47105"/>
    <w:rsid w:val="00A47512"/>
    <w:rsid w:val="00A50DEF"/>
    <w:rsid w:val="00A529A2"/>
    <w:rsid w:val="00A541F8"/>
    <w:rsid w:val="00A569F4"/>
    <w:rsid w:val="00A5762A"/>
    <w:rsid w:val="00A57FC1"/>
    <w:rsid w:val="00A6438E"/>
    <w:rsid w:val="00A644D6"/>
    <w:rsid w:val="00A64C2B"/>
    <w:rsid w:val="00A665A5"/>
    <w:rsid w:val="00A665CD"/>
    <w:rsid w:val="00A66A9E"/>
    <w:rsid w:val="00A807AF"/>
    <w:rsid w:val="00A817A6"/>
    <w:rsid w:val="00A85C20"/>
    <w:rsid w:val="00A86BCE"/>
    <w:rsid w:val="00A94E5E"/>
    <w:rsid w:val="00A973A5"/>
    <w:rsid w:val="00A9785C"/>
    <w:rsid w:val="00AB3285"/>
    <w:rsid w:val="00AB59BB"/>
    <w:rsid w:val="00AB621E"/>
    <w:rsid w:val="00AB6685"/>
    <w:rsid w:val="00AC3435"/>
    <w:rsid w:val="00AC54AC"/>
    <w:rsid w:val="00AD530A"/>
    <w:rsid w:val="00AD677A"/>
    <w:rsid w:val="00AE0061"/>
    <w:rsid w:val="00AE3B5D"/>
    <w:rsid w:val="00AE55A0"/>
    <w:rsid w:val="00AE7316"/>
    <w:rsid w:val="00AF0171"/>
    <w:rsid w:val="00AF1D8B"/>
    <w:rsid w:val="00AF362A"/>
    <w:rsid w:val="00AF7712"/>
    <w:rsid w:val="00B0208E"/>
    <w:rsid w:val="00B022D9"/>
    <w:rsid w:val="00B03BD7"/>
    <w:rsid w:val="00B05334"/>
    <w:rsid w:val="00B12D79"/>
    <w:rsid w:val="00B139ED"/>
    <w:rsid w:val="00B140D1"/>
    <w:rsid w:val="00B14A00"/>
    <w:rsid w:val="00B150AF"/>
    <w:rsid w:val="00B152EE"/>
    <w:rsid w:val="00B16028"/>
    <w:rsid w:val="00B20469"/>
    <w:rsid w:val="00B24AF0"/>
    <w:rsid w:val="00B24B85"/>
    <w:rsid w:val="00B24E84"/>
    <w:rsid w:val="00B2547C"/>
    <w:rsid w:val="00B31AFB"/>
    <w:rsid w:val="00B33ACA"/>
    <w:rsid w:val="00B37ECD"/>
    <w:rsid w:val="00B413C1"/>
    <w:rsid w:val="00B5017C"/>
    <w:rsid w:val="00B511C8"/>
    <w:rsid w:val="00B54CF5"/>
    <w:rsid w:val="00B57F0E"/>
    <w:rsid w:val="00B60502"/>
    <w:rsid w:val="00B64A76"/>
    <w:rsid w:val="00B65EAD"/>
    <w:rsid w:val="00B72518"/>
    <w:rsid w:val="00B73AF7"/>
    <w:rsid w:val="00B74723"/>
    <w:rsid w:val="00B75DBE"/>
    <w:rsid w:val="00B817F8"/>
    <w:rsid w:val="00B82C7A"/>
    <w:rsid w:val="00B86F9A"/>
    <w:rsid w:val="00B87E72"/>
    <w:rsid w:val="00B901AD"/>
    <w:rsid w:val="00B90B15"/>
    <w:rsid w:val="00B936F7"/>
    <w:rsid w:val="00B95E2D"/>
    <w:rsid w:val="00BA4214"/>
    <w:rsid w:val="00BB210A"/>
    <w:rsid w:val="00BB2585"/>
    <w:rsid w:val="00BB47D7"/>
    <w:rsid w:val="00BB5C0A"/>
    <w:rsid w:val="00BB6E9A"/>
    <w:rsid w:val="00BC07E3"/>
    <w:rsid w:val="00BC5CA7"/>
    <w:rsid w:val="00BD7948"/>
    <w:rsid w:val="00BE6B33"/>
    <w:rsid w:val="00BE6DCE"/>
    <w:rsid w:val="00BF0A5B"/>
    <w:rsid w:val="00BF3396"/>
    <w:rsid w:val="00C002C6"/>
    <w:rsid w:val="00C01D14"/>
    <w:rsid w:val="00C0306D"/>
    <w:rsid w:val="00C071F0"/>
    <w:rsid w:val="00C075EF"/>
    <w:rsid w:val="00C07981"/>
    <w:rsid w:val="00C1001A"/>
    <w:rsid w:val="00C106A5"/>
    <w:rsid w:val="00C1767F"/>
    <w:rsid w:val="00C20E76"/>
    <w:rsid w:val="00C23208"/>
    <w:rsid w:val="00C347CC"/>
    <w:rsid w:val="00C424D3"/>
    <w:rsid w:val="00C4273C"/>
    <w:rsid w:val="00C42F3D"/>
    <w:rsid w:val="00C431DF"/>
    <w:rsid w:val="00C44883"/>
    <w:rsid w:val="00C46313"/>
    <w:rsid w:val="00C47ADD"/>
    <w:rsid w:val="00C54510"/>
    <w:rsid w:val="00C57C73"/>
    <w:rsid w:val="00C607D7"/>
    <w:rsid w:val="00C62A0F"/>
    <w:rsid w:val="00C6397D"/>
    <w:rsid w:val="00C70E97"/>
    <w:rsid w:val="00C71957"/>
    <w:rsid w:val="00C71C08"/>
    <w:rsid w:val="00C7423E"/>
    <w:rsid w:val="00C74FAA"/>
    <w:rsid w:val="00C762AA"/>
    <w:rsid w:val="00C77DD4"/>
    <w:rsid w:val="00C80EE9"/>
    <w:rsid w:val="00C8342C"/>
    <w:rsid w:val="00C83A1E"/>
    <w:rsid w:val="00C847DD"/>
    <w:rsid w:val="00C8705B"/>
    <w:rsid w:val="00C9158A"/>
    <w:rsid w:val="00C94E1A"/>
    <w:rsid w:val="00C968CF"/>
    <w:rsid w:val="00CA44F5"/>
    <w:rsid w:val="00CA781F"/>
    <w:rsid w:val="00CB3345"/>
    <w:rsid w:val="00CB4531"/>
    <w:rsid w:val="00CB6461"/>
    <w:rsid w:val="00CC593B"/>
    <w:rsid w:val="00CC6F95"/>
    <w:rsid w:val="00CD2431"/>
    <w:rsid w:val="00CD576B"/>
    <w:rsid w:val="00CD77F3"/>
    <w:rsid w:val="00CD7967"/>
    <w:rsid w:val="00CE0055"/>
    <w:rsid w:val="00CE2E4B"/>
    <w:rsid w:val="00CE5BCA"/>
    <w:rsid w:val="00CE733D"/>
    <w:rsid w:val="00CF16B2"/>
    <w:rsid w:val="00CF2AF6"/>
    <w:rsid w:val="00CF2B43"/>
    <w:rsid w:val="00D03A74"/>
    <w:rsid w:val="00D0517B"/>
    <w:rsid w:val="00D052D0"/>
    <w:rsid w:val="00D054A5"/>
    <w:rsid w:val="00D069BE"/>
    <w:rsid w:val="00D070E8"/>
    <w:rsid w:val="00D13031"/>
    <w:rsid w:val="00D1738B"/>
    <w:rsid w:val="00D25A5D"/>
    <w:rsid w:val="00D26D80"/>
    <w:rsid w:val="00D309E5"/>
    <w:rsid w:val="00D32172"/>
    <w:rsid w:val="00D3294F"/>
    <w:rsid w:val="00D3509E"/>
    <w:rsid w:val="00D41E8D"/>
    <w:rsid w:val="00D41EC3"/>
    <w:rsid w:val="00D427E8"/>
    <w:rsid w:val="00D429F5"/>
    <w:rsid w:val="00D42E6D"/>
    <w:rsid w:val="00D44A32"/>
    <w:rsid w:val="00D45D86"/>
    <w:rsid w:val="00D45DB5"/>
    <w:rsid w:val="00D475ED"/>
    <w:rsid w:val="00D51B98"/>
    <w:rsid w:val="00D53B2E"/>
    <w:rsid w:val="00D53CAA"/>
    <w:rsid w:val="00D54C1D"/>
    <w:rsid w:val="00D566DB"/>
    <w:rsid w:val="00D632FB"/>
    <w:rsid w:val="00D6498D"/>
    <w:rsid w:val="00D65F96"/>
    <w:rsid w:val="00D664CC"/>
    <w:rsid w:val="00D81924"/>
    <w:rsid w:val="00D81A8A"/>
    <w:rsid w:val="00D8788C"/>
    <w:rsid w:val="00D91096"/>
    <w:rsid w:val="00D91D9F"/>
    <w:rsid w:val="00D920A8"/>
    <w:rsid w:val="00D93490"/>
    <w:rsid w:val="00D95C10"/>
    <w:rsid w:val="00DA51D3"/>
    <w:rsid w:val="00DB11CE"/>
    <w:rsid w:val="00DB2F52"/>
    <w:rsid w:val="00DC02F0"/>
    <w:rsid w:val="00DC0743"/>
    <w:rsid w:val="00DC1066"/>
    <w:rsid w:val="00DC1B4A"/>
    <w:rsid w:val="00DC2ACA"/>
    <w:rsid w:val="00DC2CA2"/>
    <w:rsid w:val="00DC32C2"/>
    <w:rsid w:val="00DC32E0"/>
    <w:rsid w:val="00DC5E88"/>
    <w:rsid w:val="00DC6F79"/>
    <w:rsid w:val="00DD149B"/>
    <w:rsid w:val="00DD1999"/>
    <w:rsid w:val="00DD2FFC"/>
    <w:rsid w:val="00DD321B"/>
    <w:rsid w:val="00DD3473"/>
    <w:rsid w:val="00DD66C5"/>
    <w:rsid w:val="00DE3295"/>
    <w:rsid w:val="00DE32CF"/>
    <w:rsid w:val="00DE5B96"/>
    <w:rsid w:val="00DE6136"/>
    <w:rsid w:val="00DE64EC"/>
    <w:rsid w:val="00DE769F"/>
    <w:rsid w:val="00DF2D00"/>
    <w:rsid w:val="00DF340B"/>
    <w:rsid w:val="00DF5396"/>
    <w:rsid w:val="00DF567D"/>
    <w:rsid w:val="00E03761"/>
    <w:rsid w:val="00E17309"/>
    <w:rsid w:val="00E21852"/>
    <w:rsid w:val="00E2248E"/>
    <w:rsid w:val="00E236E7"/>
    <w:rsid w:val="00E2604E"/>
    <w:rsid w:val="00E31C43"/>
    <w:rsid w:val="00E32E91"/>
    <w:rsid w:val="00E334C3"/>
    <w:rsid w:val="00E35446"/>
    <w:rsid w:val="00E40581"/>
    <w:rsid w:val="00E40C57"/>
    <w:rsid w:val="00E415A7"/>
    <w:rsid w:val="00E45166"/>
    <w:rsid w:val="00E451D0"/>
    <w:rsid w:val="00E512EA"/>
    <w:rsid w:val="00E51DA6"/>
    <w:rsid w:val="00E5435C"/>
    <w:rsid w:val="00E54415"/>
    <w:rsid w:val="00E60022"/>
    <w:rsid w:val="00E6323B"/>
    <w:rsid w:val="00E6484F"/>
    <w:rsid w:val="00E64A90"/>
    <w:rsid w:val="00E67C87"/>
    <w:rsid w:val="00E826F7"/>
    <w:rsid w:val="00E87CF4"/>
    <w:rsid w:val="00E9236C"/>
    <w:rsid w:val="00E92396"/>
    <w:rsid w:val="00E93447"/>
    <w:rsid w:val="00E939D7"/>
    <w:rsid w:val="00E95DBA"/>
    <w:rsid w:val="00E965B2"/>
    <w:rsid w:val="00EA0550"/>
    <w:rsid w:val="00EA5FD8"/>
    <w:rsid w:val="00EA6D33"/>
    <w:rsid w:val="00EA7AA2"/>
    <w:rsid w:val="00EB1E2C"/>
    <w:rsid w:val="00EB5E24"/>
    <w:rsid w:val="00EC27A3"/>
    <w:rsid w:val="00EC5286"/>
    <w:rsid w:val="00EC5D3A"/>
    <w:rsid w:val="00EC690F"/>
    <w:rsid w:val="00ED4ACA"/>
    <w:rsid w:val="00ED6543"/>
    <w:rsid w:val="00ED71A8"/>
    <w:rsid w:val="00EE0B30"/>
    <w:rsid w:val="00EE0EAB"/>
    <w:rsid w:val="00EE11CA"/>
    <w:rsid w:val="00F00C1F"/>
    <w:rsid w:val="00F025C0"/>
    <w:rsid w:val="00F029C9"/>
    <w:rsid w:val="00F03DB0"/>
    <w:rsid w:val="00F04FB1"/>
    <w:rsid w:val="00F07499"/>
    <w:rsid w:val="00F10FFC"/>
    <w:rsid w:val="00F20765"/>
    <w:rsid w:val="00F22D89"/>
    <w:rsid w:val="00F27368"/>
    <w:rsid w:val="00F31A06"/>
    <w:rsid w:val="00F32B7B"/>
    <w:rsid w:val="00F33291"/>
    <w:rsid w:val="00F35FA3"/>
    <w:rsid w:val="00F36690"/>
    <w:rsid w:val="00F374AE"/>
    <w:rsid w:val="00F47BEC"/>
    <w:rsid w:val="00F535AA"/>
    <w:rsid w:val="00F62014"/>
    <w:rsid w:val="00F6283E"/>
    <w:rsid w:val="00F671F0"/>
    <w:rsid w:val="00F70AA6"/>
    <w:rsid w:val="00F71241"/>
    <w:rsid w:val="00F74CB9"/>
    <w:rsid w:val="00F75EA4"/>
    <w:rsid w:val="00F80BB3"/>
    <w:rsid w:val="00F83F95"/>
    <w:rsid w:val="00F90731"/>
    <w:rsid w:val="00F93E8C"/>
    <w:rsid w:val="00F94B2A"/>
    <w:rsid w:val="00F95068"/>
    <w:rsid w:val="00F95A7A"/>
    <w:rsid w:val="00FA24E1"/>
    <w:rsid w:val="00FA67BA"/>
    <w:rsid w:val="00FB2A68"/>
    <w:rsid w:val="00FB767B"/>
    <w:rsid w:val="00FB7F11"/>
    <w:rsid w:val="00FC0CF4"/>
    <w:rsid w:val="00FC5E19"/>
    <w:rsid w:val="00FC6A0B"/>
    <w:rsid w:val="00FD00D3"/>
    <w:rsid w:val="00FD0187"/>
    <w:rsid w:val="00FD0F6A"/>
    <w:rsid w:val="00FD5144"/>
    <w:rsid w:val="00FD7F23"/>
    <w:rsid w:val="00FE1131"/>
    <w:rsid w:val="00FE300A"/>
    <w:rsid w:val="00FE4473"/>
    <w:rsid w:val="00FE4593"/>
    <w:rsid w:val="00FE49FD"/>
    <w:rsid w:val="00FE5590"/>
    <w:rsid w:val="00FF1B1F"/>
    <w:rsid w:val="00FF3EE4"/>
    <w:rsid w:val="02833F2E"/>
    <w:rsid w:val="043821CD"/>
    <w:rsid w:val="04C4636D"/>
    <w:rsid w:val="053C675A"/>
    <w:rsid w:val="060A0DC5"/>
    <w:rsid w:val="061F33DD"/>
    <w:rsid w:val="0A725595"/>
    <w:rsid w:val="118C49D4"/>
    <w:rsid w:val="12A043D9"/>
    <w:rsid w:val="15EE41AC"/>
    <w:rsid w:val="17045223"/>
    <w:rsid w:val="17CD33C2"/>
    <w:rsid w:val="1A7E5E7B"/>
    <w:rsid w:val="1A8B2040"/>
    <w:rsid w:val="1B370933"/>
    <w:rsid w:val="1B5F5E47"/>
    <w:rsid w:val="1D9F5D63"/>
    <w:rsid w:val="1F107C36"/>
    <w:rsid w:val="20B5208A"/>
    <w:rsid w:val="25121294"/>
    <w:rsid w:val="26551207"/>
    <w:rsid w:val="27E11715"/>
    <w:rsid w:val="2A2F4E4C"/>
    <w:rsid w:val="2B150295"/>
    <w:rsid w:val="2B9E2E3C"/>
    <w:rsid w:val="2BEF3641"/>
    <w:rsid w:val="2CDC3FD4"/>
    <w:rsid w:val="2DF561CD"/>
    <w:rsid w:val="2E6C3520"/>
    <w:rsid w:val="2FFE78CA"/>
    <w:rsid w:val="30391EFA"/>
    <w:rsid w:val="31C1728A"/>
    <w:rsid w:val="3217348C"/>
    <w:rsid w:val="36002F65"/>
    <w:rsid w:val="37736568"/>
    <w:rsid w:val="39A302D8"/>
    <w:rsid w:val="3B0F762E"/>
    <w:rsid w:val="41353C08"/>
    <w:rsid w:val="422B1FE2"/>
    <w:rsid w:val="43E40670"/>
    <w:rsid w:val="44822BC4"/>
    <w:rsid w:val="44EA1B2A"/>
    <w:rsid w:val="45126CB8"/>
    <w:rsid w:val="464F3789"/>
    <w:rsid w:val="46950736"/>
    <w:rsid w:val="46FE54C8"/>
    <w:rsid w:val="4787342B"/>
    <w:rsid w:val="49AC0222"/>
    <w:rsid w:val="4A2B6043"/>
    <w:rsid w:val="4D3E1FF4"/>
    <w:rsid w:val="4D7F5EE7"/>
    <w:rsid w:val="4E072880"/>
    <w:rsid w:val="4E2C3363"/>
    <w:rsid w:val="4E527F21"/>
    <w:rsid w:val="4ECE7AF7"/>
    <w:rsid w:val="4F0603E1"/>
    <w:rsid w:val="4F0F3E7B"/>
    <w:rsid w:val="53091C7F"/>
    <w:rsid w:val="53275B9C"/>
    <w:rsid w:val="53D04611"/>
    <w:rsid w:val="555048A4"/>
    <w:rsid w:val="572F16E4"/>
    <w:rsid w:val="57CF49D7"/>
    <w:rsid w:val="599F1F2A"/>
    <w:rsid w:val="59A9065A"/>
    <w:rsid w:val="5A550354"/>
    <w:rsid w:val="5AF87174"/>
    <w:rsid w:val="5B11718D"/>
    <w:rsid w:val="5B6F04FB"/>
    <w:rsid w:val="5DA20A1D"/>
    <w:rsid w:val="5F6B7862"/>
    <w:rsid w:val="60244101"/>
    <w:rsid w:val="602E646E"/>
    <w:rsid w:val="61A14100"/>
    <w:rsid w:val="622D77EC"/>
    <w:rsid w:val="62777AB9"/>
    <w:rsid w:val="62C20F1A"/>
    <w:rsid w:val="63DD1275"/>
    <w:rsid w:val="66284677"/>
    <w:rsid w:val="66D81A9B"/>
    <w:rsid w:val="691A10CE"/>
    <w:rsid w:val="693C5624"/>
    <w:rsid w:val="6979001D"/>
    <w:rsid w:val="6B1A397D"/>
    <w:rsid w:val="6F865855"/>
    <w:rsid w:val="70127BFF"/>
    <w:rsid w:val="701804B5"/>
    <w:rsid w:val="720843BA"/>
    <w:rsid w:val="728A0E9C"/>
    <w:rsid w:val="73533EBA"/>
    <w:rsid w:val="73952587"/>
    <w:rsid w:val="74427D55"/>
    <w:rsid w:val="7497600B"/>
    <w:rsid w:val="75720AFA"/>
    <w:rsid w:val="75F70DF5"/>
    <w:rsid w:val="79AD4A9F"/>
    <w:rsid w:val="7DD81BC4"/>
    <w:rsid w:val="7FF55B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qFormat="1"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0"/>
    <w:qFormat/>
    <w:uiPriority w:val="9"/>
    <w:pPr>
      <w:keepNext/>
      <w:keepLines/>
      <w:spacing w:before="340" w:after="330" w:line="578" w:lineRule="auto"/>
      <w:outlineLvl w:val="0"/>
    </w:pPr>
    <w:rPr>
      <w:rFonts w:eastAsia="黑体"/>
      <w:bCs/>
      <w:kern w:val="44"/>
      <w:sz w:val="32"/>
      <w:szCs w:val="44"/>
    </w:rPr>
  </w:style>
  <w:style w:type="paragraph" w:styleId="5">
    <w:name w:val="heading 2"/>
    <w:basedOn w:val="1"/>
    <w:next w:val="1"/>
    <w:link w:val="32"/>
    <w:unhideWhenUsed/>
    <w:qFormat/>
    <w:uiPriority w:val="0"/>
    <w:pPr>
      <w:keepNext/>
      <w:keepLines/>
      <w:spacing w:before="260" w:after="260" w:line="416" w:lineRule="auto"/>
      <w:outlineLvl w:val="1"/>
    </w:pPr>
    <w:rPr>
      <w:rFonts w:eastAsia="楷体" w:asciiTheme="majorHAnsi" w:hAnsiTheme="majorHAnsi" w:cstheme="majorBidi"/>
      <w:b/>
      <w:bCs/>
      <w:sz w:val="32"/>
      <w:szCs w:val="32"/>
    </w:rPr>
  </w:style>
  <w:style w:type="paragraph" w:styleId="6">
    <w:name w:val="heading 3"/>
    <w:basedOn w:val="1"/>
    <w:next w:val="1"/>
    <w:link w:val="38"/>
    <w:unhideWhenUsed/>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3">
    <w:name w:val="macro"/>
    <w:link w:val="5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Body Text"/>
    <w:basedOn w:val="1"/>
    <w:link w:val="66"/>
    <w:qFormat/>
    <w:uiPriority w:val="0"/>
    <w:pPr>
      <w:widowControl/>
      <w:overflowPunct w:val="0"/>
      <w:autoSpaceDE w:val="0"/>
      <w:autoSpaceDN w:val="0"/>
      <w:adjustRightInd w:val="0"/>
      <w:spacing w:after="120"/>
    </w:pPr>
    <w:rPr>
      <w:kern w:val="0"/>
      <w:szCs w:val="20"/>
    </w:rPr>
  </w:style>
  <w:style w:type="paragraph" w:styleId="8">
    <w:name w:val="toc 3"/>
    <w:basedOn w:val="1"/>
    <w:next w:val="1"/>
    <w:unhideWhenUsed/>
    <w:qFormat/>
    <w:uiPriority w:val="39"/>
    <w:pPr>
      <w:tabs>
        <w:tab w:val="right" w:leader="dot" w:pos="8931"/>
      </w:tabs>
      <w:spacing w:line="580" w:lineRule="exact"/>
      <w:jc w:val="center"/>
    </w:pPr>
  </w:style>
  <w:style w:type="paragraph" w:styleId="9">
    <w:name w:val="Plain Text"/>
    <w:basedOn w:val="1"/>
    <w:link w:val="54"/>
    <w:unhideWhenUsed/>
    <w:qFormat/>
    <w:uiPriority w:val="0"/>
    <w:rPr>
      <w:rFonts w:ascii="宋体" w:hAnsi="Courier New" w:cs="Courier New" w:eastAsiaTheme="minorEastAsia"/>
      <w:szCs w:val="21"/>
    </w:rPr>
  </w:style>
  <w:style w:type="paragraph" w:styleId="10">
    <w:name w:val="index 3"/>
    <w:basedOn w:val="1"/>
    <w:next w:val="1"/>
    <w:qFormat/>
    <w:uiPriority w:val="0"/>
    <w:pPr>
      <w:widowControl/>
      <w:overflowPunct w:val="0"/>
      <w:autoSpaceDE w:val="0"/>
      <w:autoSpaceDN w:val="0"/>
      <w:adjustRightInd w:val="0"/>
      <w:ind w:left="400" w:leftChars="400"/>
    </w:pPr>
    <w:rPr>
      <w:kern w:val="0"/>
      <w:szCs w:val="20"/>
    </w:rPr>
  </w:style>
  <w:style w:type="paragraph" w:styleId="11">
    <w:name w:val="Body Text Indent 2"/>
    <w:basedOn w:val="1"/>
    <w:link w:val="64"/>
    <w:qFormat/>
    <w:uiPriority w:val="0"/>
    <w:pPr>
      <w:widowControl/>
      <w:overflowPunct w:val="0"/>
      <w:autoSpaceDE w:val="0"/>
      <w:autoSpaceDN w:val="0"/>
      <w:adjustRightInd w:val="0"/>
      <w:spacing w:after="120" w:line="480" w:lineRule="auto"/>
      <w:ind w:left="200" w:leftChars="200"/>
    </w:pPr>
    <w:rPr>
      <w:kern w:val="0"/>
      <w:szCs w:val="20"/>
    </w:rPr>
  </w:style>
  <w:style w:type="paragraph" w:styleId="12">
    <w:name w:val="Balloon Text"/>
    <w:basedOn w:val="1"/>
    <w:link w:val="43"/>
    <w:unhideWhenUsed/>
    <w:qFormat/>
    <w:uiPriority w:val="0"/>
    <w:pPr>
      <w:spacing w:line="590" w:lineRule="exact"/>
      <w:ind w:firstLine="200" w:firstLineChars="200"/>
    </w:pPr>
    <w:rPr>
      <w:rFonts w:ascii="仿宋_GB2312" w:eastAsia="仿宋_GB2312"/>
      <w:spacing w:val="6"/>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931"/>
      </w:tabs>
      <w:spacing w:line="600" w:lineRule="exact"/>
      <w:jc w:val="center"/>
    </w:pPr>
    <w:rPr>
      <w:kern w:val="0"/>
      <w:sz w:val="28"/>
      <w:szCs w:val="28"/>
    </w:rPr>
  </w:style>
  <w:style w:type="paragraph" w:styleId="16">
    <w:name w:val="toc 2"/>
    <w:basedOn w:val="1"/>
    <w:next w:val="1"/>
    <w:unhideWhenUsed/>
    <w:qFormat/>
    <w:uiPriority w:val="39"/>
    <w:pPr>
      <w:tabs>
        <w:tab w:val="right" w:leader="dot" w:pos="8948"/>
      </w:tabs>
      <w:ind w:left="566" w:hanging="566" w:hangingChars="202"/>
    </w:pPr>
  </w:style>
  <w:style w:type="paragraph" w:styleId="17">
    <w:name w:val="Body Text 2"/>
    <w:basedOn w:val="1"/>
    <w:link w:val="47"/>
    <w:qFormat/>
    <w:uiPriority w:val="0"/>
    <w:pPr>
      <w:widowControl/>
      <w:overflowPunct w:val="0"/>
      <w:autoSpaceDE w:val="0"/>
      <w:autoSpaceDN w:val="0"/>
      <w:adjustRightInd w:val="0"/>
      <w:spacing w:after="120" w:line="480" w:lineRule="auto"/>
    </w:pPr>
    <w:rPr>
      <w:kern w:val="0"/>
      <w:szCs w:val="20"/>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Title"/>
    <w:basedOn w:val="1"/>
    <w:next w:val="1"/>
    <w:link w:val="29"/>
    <w:qFormat/>
    <w:uiPriority w:val="10"/>
    <w:pPr>
      <w:spacing w:before="240" w:after="60"/>
      <w:jc w:val="center"/>
      <w:outlineLvl w:val="0"/>
    </w:pPr>
    <w:rPr>
      <w:rFonts w:asciiTheme="majorHAnsi" w:hAnsiTheme="majorHAnsi" w:cstheme="majorBidi"/>
      <w:b/>
      <w:bCs/>
      <w:sz w:val="32"/>
      <w:szCs w:val="32"/>
    </w:rPr>
  </w:style>
  <w:style w:type="paragraph" w:styleId="20">
    <w:name w:val="Body Text First Indent"/>
    <w:basedOn w:val="7"/>
    <w:link w:val="67"/>
    <w:qFormat/>
    <w:uiPriority w:val="0"/>
    <w:pPr>
      <w:ind w:firstLine="420" w:firstLineChars="100"/>
    </w:p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page number"/>
    <w:basedOn w:val="23"/>
    <w:qFormat/>
    <w:uiPriority w:val="0"/>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customStyle="1" w:styleId="27">
    <w:name w:val="页眉 Char"/>
    <w:basedOn w:val="23"/>
    <w:link w:val="14"/>
    <w:qFormat/>
    <w:uiPriority w:val="99"/>
    <w:rPr>
      <w:sz w:val="18"/>
      <w:szCs w:val="18"/>
    </w:rPr>
  </w:style>
  <w:style w:type="character" w:customStyle="1" w:styleId="28">
    <w:name w:val="页脚 Char"/>
    <w:basedOn w:val="23"/>
    <w:link w:val="13"/>
    <w:qFormat/>
    <w:uiPriority w:val="99"/>
    <w:rPr>
      <w:sz w:val="18"/>
      <w:szCs w:val="18"/>
    </w:rPr>
  </w:style>
  <w:style w:type="character" w:customStyle="1" w:styleId="29">
    <w:name w:val="标题 Char"/>
    <w:basedOn w:val="23"/>
    <w:link w:val="19"/>
    <w:qFormat/>
    <w:uiPriority w:val="10"/>
    <w:rPr>
      <w:rFonts w:eastAsia="宋体" w:asciiTheme="majorHAnsi" w:hAnsiTheme="majorHAnsi" w:cstheme="majorBidi"/>
      <w:b/>
      <w:bCs/>
      <w:sz w:val="32"/>
      <w:szCs w:val="32"/>
    </w:rPr>
  </w:style>
  <w:style w:type="character" w:customStyle="1" w:styleId="30">
    <w:name w:val="标题 1 Char"/>
    <w:basedOn w:val="23"/>
    <w:link w:val="4"/>
    <w:qFormat/>
    <w:uiPriority w:val="9"/>
    <w:rPr>
      <w:rFonts w:ascii="Times New Roman" w:hAnsi="Times New Roman" w:eastAsia="黑体"/>
      <w:bCs/>
      <w:kern w:val="44"/>
      <w:sz w:val="32"/>
      <w:szCs w:val="44"/>
    </w:rPr>
  </w:style>
  <w:style w:type="paragraph" w:customStyle="1" w:styleId="3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Cs w:val="32"/>
    </w:rPr>
  </w:style>
  <w:style w:type="character" w:customStyle="1" w:styleId="32">
    <w:name w:val="标题 2 Char"/>
    <w:basedOn w:val="23"/>
    <w:link w:val="5"/>
    <w:qFormat/>
    <w:uiPriority w:val="0"/>
    <w:rPr>
      <w:rFonts w:eastAsia="楷体" w:asciiTheme="majorHAnsi" w:hAnsiTheme="majorHAnsi" w:cstheme="majorBidi"/>
      <w:b/>
      <w:bCs/>
      <w:sz w:val="32"/>
      <w:szCs w:val="32"/>
    </w:rPr>
  </w:style>
  <w:style w:type="paragraph" w:customStyle="1" w:styleId="33">
    <w:name w:val="列出段落1"/>
    <w:basedOn w:val="1"/>
    <w:qFormat/>
    <w:uiPriority w:val="34"/>
    <w:pPr>
      <w:ind w:firstLine="420" w:firstLineChars="200"/>
    </w:pPr>
  </w:style>
  <w:style w:type="paragraph" w:customStyle="1" w:styleId="34">
    <w:name w:val="a0"/>
    <w:basedOn w:val="1"/>
    <w:qFormat/>
    <w:uiPriority w:val="0"/>
    <w:pPr>
      <w:spacing w:line="360" w:lineRule="auto"/>
      <w:ind w:firstLine="200" w:firstLineChars="200"/>
      <w:jc w:val="left"/>
    </w:pPr>
    <w:rPr>
      <w:rFonts w:ascii="仿宋_GB2312" w:hAnsi="宋体"/>
      <w:sz w:val="28"/>
      <w:szCs w:val="28"/>
    </w:rPr>
  </w:style>
  <w:style w:type="paragraph" w:customStyle="1" w:styleId="35">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6">
    <w:name w:val="标题3 Char"/>
    <w:link w:val="37"/>
    <w:qFormat/>
    <w:uiPriority w:val="0"/>
    <w:rPr>
      <w:rFonts w:ascii="宋体" w:hAnsi="宋体" w:eastAsia="宋体" w:cs="仿宋"/>
      <w:b/>
      <w:spacing w:val="6"/>
      <w:sz w:val="30"/>
      <w:szCs w:val="30"/>
    </w:rPr>
  </w:style>
  <w:style w:type="paragraph" w:customStyle="1" w:styleId="37">
    <w:name w:val="标题3"/>
    <w:basedOn w:val="1"/>
    <w:link w:val="36"/>
    <w:qFormat/>
    <w:uiPriority w:val="0"/>
    <w:pPr>
      <w:autoSpaceDE w:val="0"/>
      <w:autoSpaceDN w:val="0"/>
      <w:adjustRightInd w:val="0"/>
      <w:snapToGrid w:val="0"/>
      <w:spacing w:line="600" w:lineRule="exact"/>
      <w:ind w:firstLine="626" w:firstLineChars="200"/>
      <w:jc w:val="left"/>
    </w:pPr>
    <w:rPr>
      <w:rFonts w:ascii="宋体" w:hAnsi="宋体" w:cs="仿宋"/>
      <w:b/>
      <w:spacing w:val="6"/>
      <w:sz w:val="30"/>
      <w:szCs w:val="30"/>
    </w:rPr>
  </w:style>
  <w:style w:type="character" w:customStyle="1" w:styleId="38">
    <w:name w:val="标题 3 Char"/>
    <w:basedOn w:val="23"/>
    <w:link w:val="6"/>
    <w:qFormat/>
    <w:uiPriority w:val="0"/>
    <w:rPr>
      <w:b/>
      <w:bCs/>
      <w:sz w:val="32"/>
      <w:szCs w:val="32"/>
    </w:rPr>
  </w:style>
  <w:style w:type="paragraph" w:customStyle="1" w:styleId="39">
    <w:name w:val="正文2"/>
    <w:qFormat/>
    <w:uiPriority w:val="0"/>
    <w:pPr>
      <w:widowControl w:val="0"/>
      <w:jc w:val="both"/>
    </w:pPr>
    <w:rPr>
      <w:rFonts w:hint="eastAsia" w:ascii="Times New Roman" w:hAnsi="Times New Roman" w:eastAsia="仿宋_GB2312" w:cs="Times New Roman"/>
      <w:kern w:val="2"/>
      <w:sz w:val="32"/>
      <w:lang w:val="en-US" w:eastAsia="zh-CN" w:bidi="ar-SA"/>
    </w:rPr>
  </w:style>
  <w:style w:type="paragraph" w:customStyle="1" w:styleId="40">
    <w:name w:val="正文1"/>
    <w:basedOn w:val="1"/>
    <w:link w:val="41"/>
    <w:qFormat/>
    <w:uiPriority w:val="0"/>
    <w:pPr>
      <w:autoSpaceDE w:val="0"/>
      <w:autoSpaceDN w:val="0"/>
      <w:adjustRightInd w:val="0"/>
      <w:snapToGrid w:val="0"/>
      <w:spacing w:line="600" w:lineRule="exact"/>
      <w:ind w:firstLine="624" w:firstLineChars="200"/>
    </w:pPr>
    <w:rPr>
      <w:rFonts w:ascii="宋体" w:hAnsi="宋体" w:eastAsia="仿宋_GB2312"/>
      <w:spacing w:val="6"/>
      <w:sz w:val="30"/>
    </w:rPr>
  </w:style>
  <w:style w:type="character" w:customStyle="1" w:styleId="41">
    <w:name w:val="正文1 Char"/>
    <w:link w:val="40"/>
    <w:qFormat/>
    <w:uiPriority w:val="0"/>
    <w:rPr>
      <w:rFonts w:ascii="宋体" w:hAnsi="宋体" w:eastAsia="仿宋_GB2312" w:cs="Times New Roman"/>
      <w:spacing w:val="6"/>
      <w:sz w:val="30"/>
      <w:szCs w:val="24"/>
    </w:rPr>
  </w:style>
  <w:style w:type="paragraph" w:customStyle="1" w:styleId="42">
    <w:name w:val="Char"/>
    <w:basedOn w:val="1"/>
    <w:qFormat/>
    <w:uiPriority w:val="0"/>
    <w:pPr>
      <w:widowControl/>
      <w:jc w:val="left"/>
    </w:pPr>
    <w:rPr>
      <w:rFonts w:ascii="宋体" w:hAnsi="宋体" w:cs="宋体"/>
      <w:kern w:val="0"/>
      <w:sz w:val="24"/>
    </w:rPr>
  </w:style>
  <w:style w:type="character" w:customStyle="1" w:styleId="43">
    <w:name w:val="批注框文本 Char"/>
    <w:basedOn w:val="23"/>
    <w:link w:val="12"/>
    <w:qFormat/>
    <w:uiPriority w:val="0"/>
    <w:rPr>
      <w:rFonts w:ascii="仿宋_GB2312" w:eastAsia="仿宋_GB2312"/>
      <w:spacing w:val="6"/>
      <w:sz w:val="18"/>
      <w:szCs w:val="18"/>
    </w:rPr>
  </w:style>
  <w:style w:type="paragraph" w:customStyle="1" w:styleId="44">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snapToGrid w:val="0"/>
      <w:kern w:val="0"/>
      <w:sz w:val="24"/>
      <w:szCs w:val="21"/>
      <w:lang w:eastAsia="en-US"/>
    </w:rPr>
  </w:style>
  <w:style w:type="paragraph" w:customStyle="1" w:styleId="45">
    <w:name w:val="_Style 2"/>
    <w:basedOn w:val="1"/>
    <w:qFormat/>
    <w:uiPriority w:val="0"/>
    <w:pPr>
      <w:widowControl/>
      <w:jc w:val="left"/>
    </w:pPr>
    <w:rPr>
      <w:rFonts w:ascii="宋体" w:hAnsi="宋体" w:cs="宋体"/>
      <w:kern w:val="0"/>
      <w:sz w:val="24"/>
    </w:rPr>
  </w:style>
  <w:style w:type="character" w:customStyle="1" w:styleId="46">
    <w:name w:val="公文正文"/>
    <w:basedOn w:val="23"/>
    <w:qFormat/>
    <w:uiPriority w:val="0"/>
    <w:rPr>
      <w:rFonts w:hint="eastAsia" w:ascii="仿宋_GB2312" w:eastAsia="仿宋_GB2312"/>
      <w:sz w:val="32"/>
    </w:rPr>
  </w:style>
  <w:style w:type="character" w:customStyle="1" w:styleId="47">
    <w:name w:val="正文文本 2 Char"/>
    <w:basedOn w:val="23"/>
    <w:link w:val="17"/>
    <w:qFormat/>
    <w:uiPriority w:val="0"/>
    <w:rPr>
      <w:rFonts w:ascii="Times New Roman" w:hAnsi="Times New Roman" w:eastAsia="宋体" w:cs="Times New Roman"/>
      <w:kern w:val="0"/>
      <w:szCs w:val="20"/>
    </w:rPr>
  </w:style>
  <w:style w:type="paragraph" w:customStyle="1" w:styleId="48">
    <w:name w:val="列出段落11"/>
    <w:basedOn w:val="1"/>
    <w:qFormat/>
    <w:uiPriority w:val="0"/>
    <w:pPr>
      <w:ind w:firstLine="420" w:firstLineChars="200"/>
    </w:pPr>
    <w:rPr>
      <w:rFonts w:ascii="Calibri" w:hAnsi="Calibri"/>
    </w:rPr>
  </w:style>
  <w:style w:type="paragraph" w:customStyle="1" w:styleId="49">
    <w:name w:val="Default"/>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50">
    <w:name w:val="Char1"/>
    <w:basedOn w:val="1"/>
    <w:qFormat/>
    <w:uiPriority w:val="0"/>
    <w:rPr>
      <w:rFonts w:ascii="宋体" w:hAnsi="宋体" w:cs="Courier New"/>
      <w:sz w:val="32"/>
      <w:szCs w:val="32"/>
    </w:rPr>
  </w:style>
  <w:style w:type="character" w:customStyle="1" w:styleId="51">
    <w:name w:val="书籍标题1"/>
    <w:basedOn w:val="23"/>
    <w:qFormat/>
    <w:uiPriority w:val="0"/>
    <w:rPr>
      <w:rFonts w:cs="Times New Roman"/>
      <w:b/>
      <w:bCs/>
      <w:smallCaps/>
      <w:spacing w:val="5"/>
    </w:rPr>
  </w:style>
  <w:style w:type="character" w:customStyle="1" w:styleId="52">
    <w:name w:val="纯文本 Char"/>
    <w:basedOn w:val="23"/>
    <w:qFormat/>
    <w:uiPriority w:val="0"/>
    <w:rPr>
      <w:rFonts w:ascii="宋体" w:hAnsi="Courier New" w:cs="Courier New"/>
      <w:szCs w:val="21"/>
    </w:rPr>
  </w:style>
  <w:style w:type="character" w:customStyle="1" w:styleId="53">
    <w:name w:val="标题 2 Char1"/>
    <w:basedOn w:val="23"/>
    <w:semiHidden/>
    <w:qFormat/>
    <w:uiPriority w:val="0"/>
    <w:rPr>
      <w:rFonts w:ascii="Cambria" w:hAnsi="Cambria" w:eastAsia="宋体" w:cs="Times New Roman"/>
      <w:b/>
      <w:bCs/>
      <w:kern w:val="2"/>
      <w:sz w:val="32"/>
      <w:szCs w:val="32"/>
    </w:rPr>
  </w:style>
  <w:style w:type="character" w:customStyle="1" w:styleId="54">
    <w:name w:val="纯文本 Char1"/>
    <w:basedOn w:val="23"/>
    <w:link w:val="9"/>
    <w:semiHidden/>
    <w:qFormat/>
    <w:uiPriority w:val="99"/>
    <w:rPr>
      <w:rFonts w:ascii="宋体" w:hAnsi="Courier New" w:eastAsia="宋体" w:cs="Courier New"/>
      <w:szCs w:val="21"/>
    </w:rPr>
  </w:style>
  <w:style w:type="paragraph" w:customStyle="1" w:styleId="55">
    <w:name w:val="Char Char Char Char Char Char Char Char Char Char Char Char"/>
    <w:basedOn w:val="1"/>
    <w:next w:val="15"/>
    <w:semiHidden/>
    <w:qFormat/>
    <w:uiPriority w:val="0"/>
    <w:rPr>
      <w:sz w:val="28"/>
      <w:szCs w:val="28"/>
    </w:rPr>
  </w:style>
  <w:style w:type="character" w:customStyle="1" w:styleId="56">
    <w:name w:val="宏文本 Char"/>
    <w:basedOn w:val="23"/>
    <w:link w:val="3"/>
    <w:qFormat/>
    <w:uiPriority w:val="0"/>
    <w:rPr>
      <w:rFonts w:ascii="Courier New" w:hAnsi="Courier New" w:eastAsia="宋体" w:cs="Courier New"/>
      <w:sz w:val="24"/>
      <w:szCs w:val="24"/>
    </w:rPr>
  </w:style>
  <w:style w:type="character" w:customStyle="1" w:styleId="57">
    <w:name w:val="公文校对"/>
    <w:basedOn w:val="23"/>
    <w:qFormat/>
    <w:uiPriority w:val="0"/>
    <w:rPr>
      <w:rFonts w:eastAsia="仿宋_GB2312"/>
      <w:sz w:val="28"/>
    </w:rPr>
  </w:style>
  <w:style w:type="character" w:customStyle="1" w:styleId="58">
    <w:name w:val="apple-converted-space"/>
    <w:qFormat/>
    <w:uiPriority w:val="0"/>
    <w:rPr>
      <w:rFonts w:cs="Times New Roman"/>
    </w:rPr>
  </w:style>
  <w:style w:type="paragraph" w:customStyle="1" w:styleId="59">
    <w:name w:val="页脚1"/>
    <w:basedOn w:val="1"/>
    <w:qFormat/>
    <w:uiPriority w:val="0"/>
    <w:pPr>
      <w:tabs>
        <w:tab w:val="center" w:pos="4153"/>
        <w:tab w:val="right" w:pos="8306"/>
      </w:tabs>
      <w:snapToGrid w:val="0"/>
      <w:jc w:val="left"/>
    </w:pPr>
    <w:rPr>
      <w:sz w:val="18"/>
      <w:szCs w:val="18"/>
    </w:rPr>
  </w:style>
  <w:style w:type="paragraph" w:customStyle="1" w:styleId="60">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p31"/>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Char Char Char Char"/>
    <w:basedOn w:val="1"/>
    <w:qFormat/>
    <w:uiPriority w:val="0"/>
    <w:rPr>
      <w:rFonts w:ascii="Tahoma" w:hAnsi="Tahoma"/>
      <w:sz w:val="24"/>
      <w:szCs w:val="20"/>
    </w:rPr>
  </w:style>
  <w:style w:type="paragraph" w:customStyle="1" w:styleId="63">
    <w:name w:val="Char2"/>
    <w:basedOn w:val="1"/>
    <w:qFormat/>
    <w:uiPriority w:val="0"/>
    <w:rPr>
      <w:szCs w:val="20"/>
    </w:rPr>
  </w:style>
  <w:style w:type="character" w:customStyle="1" w:styleId="64">
    <w:name w:val="正文文本缩进 2 Char"/>
    <w:basedOn w:val="23"/>
    <w:link w:val="11"/>
    <w:qFormat/>
    <w:uiPriority w:val="0"/>
    <w:rPr>
      <w:rFonts w:ascii="Times New Roman" w:hAnsi="Times New Roman" w:eastAsia="宋体" w:cs="Times New Roman"/>
      <w:kern w:val="0"/>
      <w:szCs w:val="20"/>
    </w:rPr>
  </w:style>
  <w:style w:type="paragraph" w:customStyle="1" w:styleId="65">
    <w:name w:val="正文3"/>
    <w:qFormat/>
    <w:uiPriority w:val="0"/>
    <w:pPr>
      <w:widowControl w:val="0"/>
      <w:jc w:val="both"/>
    </w:pPr>
    <w:rPr>
      <w:rFonts w:hint="eastAsia" w:ascii="Times New Roman" w:hAnsi="Times New Roman" w:eastAsia="仿宋_GB2312" w:cs="Times New Roman"/>
      <w:kern w:val="2"/>
      <w:sz w:val="32"/>
      <w:lang w:val="en-US" w:eastAsia="zh-CN" w:bidi="ar-SA"/>
    </w:rPr>
  </w:style>
  <w:style w:type="character" w:customStyle="1" w:styleId="66">
    <w:name w:val="正文文本 Char"/>
    <w:basedOn w:val="23"/>
    <w:link w:val="7"/>
    <w:qFormat/>
    <w:uiPriority w:val="0"/>
    <w:rPr>
      <w:rFonts w:ascii="Times New Roman" w:hAnsi="Times New Roman" w:eastAsia="宋体" w:cs="Times New Roman"/>
      <w:kern w:val="0"/>
      <w:szCs w:val="20"/>
    </w:rPr>
  </w:style>
  <w:style w:type="character" w:customStyle="1" w:styleId="67">
    <w:name w:val="正文首行缩进 Char"/>
    <w:basedOn w:val="66"/>
    <w:link w:val="20"/>
    <w:qFormat/>
    <w:uiPriority w:val="0"/>
    <w:rPr>
      <w:rFonts w:ascii="Times New Roman" w:hAnsi="Times New Roman" w:eastAsia="宋体" w:cs="Times New Roman"/>
      <w:kern w:val="0"/>
      <w:szCs w:val="20"/>
    </w:rPr>
  </w:style>
  <w:style w:type="paragraph" w:customStyle="1" w:styleId="68">
    <w:name w:val="样式 小四 首行缩进:  0.85 厘米"/>
    <w:basedOn w:val="1"/>
    <w:qFormat/>
    <w:uiPriority w:val="0"/>
    <w:pPr>
      <w:spacing w:line="360" w:lineRule="auto"/>
      <w:ind w:firstLine="480"/>
    </w:pPr>
    <w:rPr>
      <w:rFonts w:cs="宋体"/>
      <w:sz w:val="24"/>
      <w:szCs w:val="20"/>
    </w:rPr>
  </w:style>
  <w:style w:type="paragraph" w:customStyle="1" w:styleId="69">
    <w:name w:val="TOC 标题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0">
    <w:name w:val="p0"/>
    <w:basedOn w:val="1"/>
    <w:qFormat/>
    <w:uiPriority w:val="99"/>
    <w:pPr>
      <w:widowControl/>
    </w:pPr>
    <w:rPr>
      <w:kern w:val="0"/>
      <w:szCs w:val="21"/>
    </w:rPr>
  </w:style>
  <w:style w:type="paragraph" w:customStyle="1" w:styleId="71">
    <w:name w:val="列出段落2"/>
    <w:basedOn w:val="1"/>
    <w:qFormat/>
    <w:uiPriority w:val="99"/>
    <w:pPr>
      <w:ind w:firstLine="420" w:firstLineChars="200"/>
    </w:pPr>
  </w:style>
  <w:style w:type="paragraph" w:customStyle="1" w:styleId="72">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emf"/><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6AF447-4AF1-4C5D-8CCF-AABF6E8688AA}">
  <ds:schemaRefs/>
</ds:datastoreItem>
</file>

<file path=docProps/app.xml><?xml version="1.0" encoding="utf-8"?>
<Properties xmlns="http://schemas.openxmlformats.org/officeDocument/2006/extended-properties" xmlns:vt="http://schemas.openxmlformats.org/officeDocument/2006/docPropsVTypes">
  <Template>Normal</Template>
  <Company>kmqxkjs</Company>
  <Pages>30</Pages>
  <Words>10325</Words>
  <Characters>11012</Characters>
  <Lines>89</Lines>
  <Paragraphs>25</Paragraphs>
  <TotalTime>47</TotalTime>
  <ScaleCrop>false</ScaleCrop>
  <LinksUpToDate>false</LinksUpToDate>
  <CharactersWithSpaces>11157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2017-09-21T09:58:00Z</dcterms:created>
  <dc:creator>xiong xu</dc:creator>
  <cp:lastModifiedBy>Administrator</cp:lastModifiedBy>
  <cp:lastPrinted>2015-11-12T04:27:00Z</cp:lastPrinted>
  <dcterms:modified xsi:type="dcterms:W3CDTF">2023-09-06T02:04:13Z</dcterms:modified>
  <cp:revision>789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0E019D7DCCE34EBDA5D4166BF78616F9</vt:lpwstr>
  </property>
</Properties>
</file>