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55" w:lineRule="atLeast"/>
        <w:jc w:val="center"/>
        <w:rPr>
          <w:rStyle w:val="8"/>
          <w:rFonts w:cs="宋体" w:asciiTheme="majorEastAsia" w:hAnsiTheme="majorEastAsia" w:eastAsiaTheme="majorEastAsia"/>
          <w:color w:val="000000" w:themeColor="text1"/>
          <w:sz w:val="44"/>
          <w:szCs w:val="44"/>
          <w:shd w:val="clear" w:color="auto" w:fill="FFFFFF"/>
          <w14:textFill>
            <w14:solidFill>
              <w14:schemeClr w14:val="tx1"/>
            </w14:solidFill>
          </w14:textFill>
        </w:rPr>
      </w:pPr>
      <w:r>
        <w:rPr>
          <w:rStyle w:val="8"/>
          <w:rFonts w:hint="eastAsia" w:cs="宋体" w:asciiTheme="majorEastAsia" w:hAnsiTheme="majorEastAsia" w:eastAsiaTheme="majorEastAsia"/>
          <w:color w:val="000000" w:themeColor="text1"/>
          <w:sz w:val="44"/>
          <w:szCs w:val="44"/>
          <w:shd w:val="clear" w:color="auto" w:fill="FFFFFF"/>
          <w14:textFill>
            <w14:solidFill>
              <w14:schemeClr w14:val="tx1"/>
            </w14:solidFill>
          </w14:textFill>
        </w:rPr>
        <w:t>勐海县职业高级中学中等职业学校质量</w:t>
      </w:r>
    </w:p>
    <w:p>
      <w:pPr>
        <w:pStyle w:val="4"/>
        <w:widowControl/>
        <w:shd w:val="clear" w:color="auto" w:fill="FFFFFF"/>
        <w:spacing w:beforeAutospacing="0" w:afterAutospacing="0" w:line="555" w:lineRule="atLeast"/>
        <w:jc w:val="center"/>
        <w:rPr>
          <w:rFonts w:cs="����" w:asciiTheme="majorEastAsia" w:hAnsiTheme="majorEastAsia" w:eastAsiaTheme="majorEastAsia"/>
          <w:color w:val="000000" w:themeColor="text1"/>
          <w:sz w:val="44"/>
          <w:szCs w:val="44"/>
          <w14:textFill>
            <w14:solidFill>
              <w14:schemeClr w14:val="tx1"/>
            </w14:solidFill>
          </w14:textFill>
        </w:rPr>
      </w:pPr>
      <w:r>
        <w:rPr>
          <w:rStyle w:val="8"/>
          <w:rFonts w:hint="eastAsia" w:cs="宋体" w:asciiTheme="majorEastAsia" w:hAnsiTheme="majorEastAsia" w:eastAsiaTheme="majorEastAsia"/>
          <w:color w:val="000000" w:themeColor="text1"/>
          <w:sz w:val="44"/>
          <w:szCs w:val="44"/>
          <w:shd w:val="clear" w:color="auto" w:fill="FFFFFF"/>
          <w14:textFill>
            <w14:solidFill>
              <w14:schemeClr w14:val="tx1"/>
            </w14:solidFill>
          </w14:textFill>
        </w:rPr>
        <w:t>年度报告</w:t>
      </w:r>
    </w:p>
    <w:p>
      <w:pPr>
        <w:pStyle w:val="4"/>
        <w:widowControl/>
        <w:shd w:val="clear" w:color="auto" w:fill="FFFFFF"/>
        <w:spacing w:beforeAutospacing="0" w:afterAutospacing="0" w:line="555" w:lineRule="atLeast"/>
        <w:jc w:val="center"/>
        <w:rPr>
          <w:rFonts w:cs="����" w:asciiTheme="majorEastAsia" w:hAnsiTheme="majorEastAsia" w:eastAsiaTheme="majorEastAsia"/>
          <w:color w:val="000000" w:themeColor="text1"/>
          <w:sz w:val="44"/>
          <w:szCs w:val="44"/>
          <w14:textFill>
            <w14:solidFill>
              <w14:schemeClr w14:val="tx1"/>
            </w14:solidFill>
          </w14:textFill>
        </w:rPr>
      </w:pPr>
      <w:r>
        <w:rPr>
          <w:rStyle w:val="8"/>
          <w:rFonts w:hint="eastAsia" w:cs="宋体" w:asciiTheme="majorEastAsia" w:hAnsiTheme="majorEastAsia" w:eastAsiaTheme="majorEastAsia"/>
          <w:color w:val="000000" w:themeColor="text1"/>
          <w:sz w:val="44"/>
          <w:szCs w:val="44"/>
          <w:shd w:val="clear" w:color="auto" w:fill="FFFFFF"/>
          <w14:textFill>
            <w14:solidFill>
              <w14:schemeClr w14:val="tx1"/>
            </w14:solidFill>
          </w14:textFill>
        </w:rPr>
        <w:t>(201</w:t>
      </w:r>
      <w:r>
        <w:rPr>
          <w:rStyle w:val="8"/>
          <w:rFonts w:hint="eastAsia" w:cs="宋体" w:asciiTheme="majorEastAsia" w:hAnsiTheme="majorEastAsia" w:eastAsiaTheme="majorEastAsia"/>
          <w:color w:val="000000" w:themeColor="text1"/>
          <w:sz w:val="44"/>
          <w:szCs w:val="44"/>
          <w:shd w:val="clear" w:color="auto" w:fill="FFFFFF"/>
          <w:lang w:val="en-US" w:eastAsia="zh-CN"/>
          <w14:textFill>
            <w14:solidFill>
              <w14:schemeClr w14:val="tx1"/>
            </w14:solidFill>
          </w14:textFill>
        </w:rPr>
        <w:t>9</w:t>
      </w:r>
      <w:r>
        <w:rPr>
          <w:rStyle w:val="8"/>
          <w:rFonts w:hint="eastAsia" w:cs="宋体" w:asciiTheme="majorEastAsia" w:hAnsiTheme="majorEastAsia" w:eastAsiaTheme="majorEastAsia"/>
          <w:color w:val="000000" w:themeColor="text1"/>
          <w:sz w:val="44"/>
          <w:szCs w:val="44"/>
          <w:shd w:val="clear" w:color="auto" w:fill="FFFFFF"/>
          <w14:textFill>
            <w14:solidFill>
              <w14:schemeClr w14:val="tx1"/>
            </w14:solidFill>
          </w14:textFill>
        </w:rPr>
        <w:t>年)</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一、学校情况</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1.1学校概况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勐海县职业高级中学位于勐海县双拥路53号，学校创建于1984年，是云南省示范性职业高级中学、云南省文明学校、云南省民族团结教育示范学校、西双版纳州文明单位、西双版纳州职业教育先进集体。2000年职业中学、教师进修学校联合办学，实行一套班子，两块牌子，教学资源优势互补的办学模式。</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学校占地面积为28.6亩，校舍建筑面积为12117平方米。</w:t>
      </w:r>
      <w:r>
        <w:rPr>
          <w:rFonts w:hint="eastAsia" w:ascii="仿宋" w:hAnsi="仿宋" w:eastAsia="仿宋" w:cs="仿宋"/>
          <w:color w:val="000000" w:themeColor="text1"/>
          <w:sz w:val="32"/>
          <w:szCs w:val="32"/>
          <w:lang w:val="zh-CN"/>
          <w14:textFill>
            <w14:solidFill>
              <w14:schemeClr w14:val="tx1"/>
            </w14:solidFill>
          </w14:textFill>
        </w:rPr>
        <w:t>现有二十间一体机多媒体教室、一间多媒体多功能阶梯教室、一栋茶艺实训大楼、一间多功能音乐舞蹈教室、一间钢琴房、</w:t>
      </w:r>
      <w:r>
        <w:rPr>
          <w:rFonts w:hint="eastAsia" w:ascii="仿宋" w:hAnsi="仿宋" w:eastAsia="仿宋" w:cs="仿宋"/>
          <w:color w:val="000000" w:themeColor="text1"/>
          <w:sz w:val="32"/>
          <w:szCs w:val="32"/>
          <w:lang w:val="en-US" w:eastAsia="zh-CN"/>
          <w14:textFill>
            <w14:solidFill>
              <w14:schemeClr w14:val="tx1"/>
            </w14:solidFill>
          </w14:textFill>
        </w:rPr>
        <w:t>一间客房餐厅实训室、一间多功能茶艺实训室、</w:t>
      </w:r>
      <w:r>
        <w:rPr>
          <w:rFonts w:hint="eastAsia" w:ascii="仿宋" w:hAnsi="仿宋" w:eastAsia="仿宋" w:cs="仿宋"/>
          <w:color w:val="000000" w:themeColor="text1"/>
          <w:sz w:val="32"/>
          <w:szCs w:val="32"/>
          <w:lang w:val="zh-CN"/>
          <w14:textFill>
            <w14:solidFill>
              <w14:schemeClr w14:val="tx1"/>
            </w14:solidFill>
          </w14:textFill>
        </w:rPr>
        <w:t>一间录音教室、</w:t>
      </w: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lang w:val="zh-CN"/>
          <w14:textFill>
            <w14:solidFill>
              <w14:schemeClr w14:val="tx1"/>
            </w14:solidFill>
          </w14:textFill>
        </w:rPr>
        <w:t>间计算机教室、汽修实训大棚和简易摩托车维修室和电焊室。</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1.2 学生情况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1.近两年来的学生数、毕业生数、在校生数</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学校两年来的招生数、毕业生数、在校生数如下表：</w:t>
      </w:r>
    </w:p>
    <w:tbl>
      <w:tblPr>
        <w:tblStyle w:val="6"/>
        <w:tblW w:w="7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254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48"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年度</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2018</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201</w:t>
            </w:r>
            <w:r>
              <w:rPr>
                <w:rFonts w:hint="eastAsia" w:ascii="仿宋" w:hAnsi="仿宋" w:eastAsia="仿宋" w:cs="仿宋"/>
                <w:color w:val="000000" w:themeColor="text1"/>
                <w:sz w:val="32"/>
                <w:szCs w:val="32"/>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48"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招生数</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536</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548"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毕业生数</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123</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548"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在校生数</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1077</w:t>
            </w:r>
          </w:p>
        </w:tc>
        <w:tc>
          <w:tcPr>
            <w:tcW w:w="254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1250</w:t>
            </w:r>
          </w:p>
        </w:tc>
      </w:tr>
    </w:tbl>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2.在校生结构：</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一是男女结构。男女生比例不均衡，在校男生占</w:t>
      </w:r>
      <w:r>
        <w:rPr>
          <w:rFonts w:hint="eastAsia" w:ascii="仿宋" w:hAnsi="仿宋" w:eastAsia="仿宋" w:cs="仿宋"/>
          <w:color w:val="000000" w:themeColor="text1"/>
          <w:sz w:val="32"/>
          <w:szCs w:val="32"/>
          <w14:textFill>
            <w14:solidFill>
              <w14:schemeClr w14:val="tx1"/>
            </w14:solidFill>
          </w14:textFill>
        </w:rPr>
        <w:t>66.32</w:t>
      </w:r>
      <w:r>
        <w:rPr>
          <w:rFonts w:hint="eastAsia" w:ascii="仿宋" w:hAnsi="仿宋" w:eastAsia="仿宋" w:cs="仿宋"/>
          <w:color w:val="000000" w:themeColor="text1"/>
          <w:sz w:val="32"/>
          <w:szCs w:val="32"/>
          <w:lang w:val="zh-CN"/>
          <w14:textFill>
            <w14:solidFill>
              <w14:schemeClr w14:val="tx1"/>
            </w14:solidFill>
          </w14:textFill>
        </w:rPr>
        <w:t>%，女生占</w:t>
      </w:r>
      <w:r>
        <w:rPr>
          <w:rFonts w:hint="eastAsia" w:ascii="仿宋" w:hAnsi="仿宋" w:eastAsia="仿宋" w:cs="仿宋"/>
          <w:color w:val="000000" w:themeColor="text1"/>
          <w:sz w:val="32"/>
          <w:szCs w:val="32"/>
          <w14:textFill>
            <w14:solidFill>
              <w14:schemeClr w14:val="tx1"/>
            </w14:solidFill>
          </w14:textFill>
        </w:rPr>
        <w:t>33.68</w:t>
      </w:r>
      <w:r>
        <w:rPr>
          <w:rFonts w:hint="eastAsia" w:ascii="仿宋" w:hAnsi="仿宋" w:eastAsia="仿宋" w:cs="仿宋"/>
          <w:color w:val="000000" w:themeColor="text1"/>
          <w:sz w:val="32"/>
          <w:szCs w:val="32"/>
          <w:lang w:val="zh-CN"/>
          <w14:textFill>
            <w14:solidFill>
              <w14:schemeClr w14:val="tx1"/>
            </w14:solidFill>
          </w14:textFill>
        </w:rPr>
        <w:t>%，男生高于女生。</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二是来源结构。我校农村学生占比大幅高于城镇学生，农村户籍占</w:t>
      </w:r>
      <w:r>
        <w:rPr>
          <w:rFonts w:hint="eastAsia" w:ascii="仿宋" w:hAnsi="仿宋" w:eastAsia="仿宋" w:cs="仿宋"/>
          <w:color w:val="000000" w:themeColor="text1"/>
          <w:sz w:val="32"/>
          <w:szCs w:val="32"/>
          <w14:textFill>
            <w14:solidFill>
              <w14:schemeClr w14:val="tx1"/>
            </w14:solidFill>
          </w14:textFill>
        </w:rPr>
        <w:t>96.72</w:t>
      </w:r>
      <w:r>
        <w:rPr>
          <w:rFonts w:hint="eastAsia" w:ascii="仿宋" w:hAnsi="仿宋" w:eastAsia="仿宋" w:cs="仿宋"/>
          <w:color w:val="000000" w:themeColor="text1"/>
          <w:sz w:val="32"/>
          <w:szCs w:val="32"/>
          <w:lang w:val="zh-CN"/>
          <w14:textFill>
            <w14:solidFill>
              <w14:schemeClr w14:val="tx1"/>
            </w14:solidFill>
          </w14:textFill>
        </w:rPr>
        <w:t>%，反映出中职学生家庭以农村农民家庭为主。</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三是民族结构。学生以少数民族学生为主，共</w:t>
      </w:r>
      <w:r>
        <w:rPr>
          <w:rFonts w:hint="eastAsia" w:ascii="仿宋" w:hAnsi="仿宋" w:eastAsia="仿宋" w:cs="仿宋"/>
          <w:color w:val="000000" w:themeColor="text1"/>
          <w:sz w:val="32"/>
          <w:szCs w:val="32"/>
          <w14:textFill>
            <w14:solidFill>
              <w14:schemeClr w14:val="tx1"/>
            </w14:solidFill>
          </w14:textFill>
        </w:rPr>
        <w:t>1043</w:t>
      </w:r>
      <w:r>
        <w:rPr>
          <w:rFonts w:hint="eastAsia" w:ascii="仿宋" w:hAnsi="仿宋" w:eastAsia="仿宋" w:cs="仿宋"/>
          <w:color w:val="000000" w:themeColor="text1"/>
          <w:sz w:val="32"/>
          <w:szCs w:val="32"/>
          <w:lang w:val="zh-CN"/>
          <w14:textFill>
            <w14:solidFill>
              <w14:schemeClr w14:val="tx1"/>
            </w14:solidFill>
          </w14:textFill>
        </w:rPr>
        <w:t>人，占</w:t>
      </w:r>
      <w:r>
        <w:rPr>
          <w:rFonts w:hint="eastAsia" w:ascii="仿宋" w:hAnsi="仿宋" w:eastAsia="仿宋" w:cs="仿宋"/>
          <w:color w:val="000000" w:themeColor="text1"/>
          <w:sz w:val="32"/>
          <w:szCs w:val="32"/>
          <w14:textFill>
            <w14:solidFill>
              <w14:schemeClr w14:val="tx1"/>
            </w14:solidFill>
          </w14:textFill>
        </w:rPr>
        <w:t>83.44</w:t>
      </w:r>
      <w:r>
        <w:rPr>
          <w:rFonts w:hint="eastAsia" w:ascii="仿宋" w:hAnsi="仿宋" w:eastAsia="仿宋" w:cs="仿宋"/>
          <w:color w:val="000000" w:themeColor="text1"/>
          <w:sz w:val="32"/>
          <w:szCs w:val="32"/>
          <w:lang w:val="zh-CN"/>
          <w14:textFill>
            <w14:solidFill>
              <w14:schemeClr w14:val="tx1"/>
            </w14:solidFill>
          </w14:textFill>
        </w:rPr>
        <w:t>%，汉族</w:t>
      </w:r>
      <w:r>
        <w:rPr>
          <w:rFonts w:hint="eastAsia" w:ascii="仿宋" w:hAnsi="仿宋" w:eastAsia="仿宋" w:cs="仿宋"/>
          <w:color w:val="000000" w:themeColor="text1"/>
          <w:sz w:val="32"/>
          <w:szCs w:val="32"/>
          <w14:textFill>
            <w14:solidFill>
              <w14:schemeClr w14:val="tx1"/>
            </w14:solidFill>
          </w14:textFill>
        </w:rPr>
        <w:t>207</w:t>
      </w:r>
      <w:r>
        <w:rPr>
          <w:rFonts w:hint="eastAsia" w:ascii="仿宋" w:hAnsi="仿宋" w:eastAsia="仿宋" w:cs="仿宋"/>
          <w:color w:val="000000" w:themeColor="text1"/>
          <w:sz w:val="32"/>
          <w:szCs w:val="32"/>
          <w:lang w:val="zh-CN"/>
          <w14:textFill>
            <w14:solidFill>
              <w14:schemeClr w14:val="tx1"/>
            </w14:solidFill>
          </w14:textFill>
        </w:rPr>
        <w:t>人，占</w:t>
      </w:r>
      <w:r>
        <w:rPr>
          <w:rFonts w:hint="eastAsia" w:ascii="仿宋" w:hAnsi="仿宋" w:eastAsia="仿宋" w:cs="仿宋"/>
          <w:color w:val="000000" w:themeColor="text1"/>
          <w:sz w:val="32"/>
          <w:szCs w:val="32"/>
          <w14:textFill>
            <w14:solidFill>
              <w14:schemeClr w14:val="tx1"/>
            </w14:solidFill>
          </w14:textFill>
        </w:rPr>
        <w:t>16.56</w:t>
      </w:r>
      <w:r>
        <w:rPr>
          <w:rFonts w:hint="eastAsia" w:ascii="仿宋" w:hAnsi="仿宋" w:eastAsia="仿宋" w:cs="仿宋"/>
          <w:color w:val="000000" w:themeColor="text1"/>
          <w:sz w:val="32"/>
          <w:szCs w:val="32"/>
          <w:lang w:val="zh-CN"/>
          <w14:textFill>
            <w14:solidFill>
              <w14:schemeClr w14:val="tx1"/>
            </w14:solidFill>
          </w14:textFill>
        </w:rPr>
        <w:t>%。主要来自我县的农村山区。</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四是专业结构。我校学生主要集中在茶叶生产与加工、汽车运用与维修、计算机应用、旅游服务与管理、民族音乐与舞蹈专业。旅游服务与管理、民族音乐与舞蹈专业人数偏少。各专业学生分布如下表：</w:t>
      </w:r>
    </w:p>
    <w:tbl>
      <w:tblPr>
        <w:tblStyle w:val="6"/>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742"/>
        <w:gridCol w:w="1395"/>
        <w:gridCol w:w="1575"/>
        <w:gridCol w:w="156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77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茶叶生产与加工</w:t>
            </w:r>
          </w:p>
        </w:tc>
        <w:tc>
          <w:tcPr>
            <w:tcW w:w="174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汽车运用与维修</w:t>
            </w:r>
          </w:p>
        </w:tc>
        <w:tc>
          <w:tcPr>
            <w:tcW w:w="1395"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计算机应用</w:t>
            </w:r>
          </w:p>
        </w:tc>
        <w:tc>
          <w:tcPr>
            <w:tcW w:w="1575"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旅游服务与管理</w:t>
            </w:r>
          </w:p>
        </w:tc>
        <w:tc>
          <w:tcPr>
            <w:tcW w:w="156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民族音乐与舞蹈</w:t>
            </w:r>
          </w:p>
        </w:tc>
        <w:tc>
          <w:tcPr>
            <w:tcW w:w="103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7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500</w:t>
            </w:r>
          </w:p>
        </w:tc>
        <w:tc>
          <w:tcPr>
            <w:tcW w:w="1742"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282</w:t>
            </w:r>
          </w:p>
        </w:tc>
        <w:tc>
          <w:tcPr>
            <w:tcW w:w="1395"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348</w:t>
            </w:r>
          </w:p>
        </w:tc>
        <w:tc>
          <w:tcPr>
            <w:tcW w:w="1575"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103</w:t>
            </w:r>
          </w:p>
        </w:tc>
        <w:tc>
          <w:tcPr>
            <w:tcW w:w="156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17</w:t>
            </w:r>
          </w:p>
        </w:tc>
        <w:tc>
          <w:tcPr>
            <w:tcW w:w="103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1250</w:t>
            </w:r>
          </w:p>
        </w:tc>
      </w:tr>
    </w:tbl>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3.近两年来的巩固率</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近两年来，我校以丰富的校园生活，良好的学习环境，人性化的服务留住学生。近两年学生巩固率得到稳步上升。</w:t>
      </w:r>
    </w:p>
    <w:tbl>
      <w:tblPr>
        <w:tblStyle w:val="6"/>
        <w:tblW w:w="8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1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130"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年度</w:t>
            </w:r>
          </w:p>
        </w:tc>
        <w:tc>
          <w:tcPr>
            <w:tcW w:w="2130"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全校学生数</w:t>
            </w:r>
          </w:p>
        </w:tc>
        <w:tc>
          <w:tcPr>
            <w:tcW w:w="2316" w:type="dxa"/>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实际在校生数</w:t>
            </w:r>
          </w:p>
        </w:tc>
        <w:tc>
          <w:tcPr>
            <w:tcW w:w="2131"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巩固率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30"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2018</w:t>
            </w:r>
          </w:p>
        </w:tc>
        <w:tc>
          <w:tcPr>
            <w:tcW w:w="2130"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1077</w:t>
            </w:r>
          </w:p>
        </w:tc>
        <w:tc>
          <w:tcPr>
            <w:tcW w:w="2316"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1057</w:t>
            </w:r>
          </w:p>
        </w:tc>
        <w:tc>
          <w:tcPr>
            <w:tcW w:w="2131"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201</w:t>
            </w:r>
            <w:r>
              <w:rPr>
                <w:rFonts w:hint="eastAsia" w:ascii="仿宋" w:hAnsi="仿宋" w:eastAsia="仿宋" w:cs="仿宋"/>
                <w:color w:val="000000" w:themeColor="text1"/>
                <w:sz w:val="32"/>
                <w:szCs w:val="32"/>
                <w14:textFill>
                  <w14:solidFill>
                    <w14:schemeClr w14:val="tx1"/>
                  </w14:solidFill>
                </w14:textFill>
              </w:rPr>
              <w:t>9</w:t>
            </w:r>
          </w:p>
        </w:tc>
        <w:tc>
          <w:tcPr>
            <w:tcW w:w="2130"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1250</w:t>
            </w:r>
          </w:p>
        </w:tc>
        <w:tc>
          <w:tcPr>
            <w:tcW w:w="2316"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1250</w:t>
            </w:r>
          </w:p>
        </w:tc>
        <w:tc>
          <w:tcPr>
            <w:tcW w:w="2131"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lang w:val="zh-CN"/>
                <w14:textFill>
                  <w14:solidFill>
                    <w14:schemeClr w14:val="tx1"/>
                  </w14:solidFill>
                </w14:textFill>
              </w:rPr>
              <w:t>%</w:t>
            </w:r>
          </w:p>
        </w:tc>
      </w:tr>
    </w:tbl>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1.3教师队伍</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拥有一支结构合理、力量雄厚、高素质的教师队伍。</w:t>
      </w:r>
      <w:r>
        <w:rPr>
          <w:rFonts w:hint="eastAsia" w:ascii="仿宋" w:hAnsi="仿宋" w:eastAsia="仿宋" w:cs="仿宋"/>
          <w:color w:val="000000" w:themeColor="text1"/>
          <w:sz w:val="32"/>
          <w:szCs w:val="32"/>
          <w14:textFill>
            <w14:solidFill>
              <w14:schemeClr w14:val="tx1"/>
            </w14:solidFill>
          </w14:textFill>
        </w:rPr>
        <w:t>有教职工</w:t>
      </w:r>
      <w:r>
        <w:rPr>
          <w:rFonts w:hint="eastAsia" w:ascii="仿宋" w:hAnsi="仿宋" w:eastAsia="仿宋" w:cs="仿宋"/>
          <w:color w:val="000000" w:themeColor="text1"/>
          <w:sz w:val="32"/>
          <w:szCs w:val="32"/>
          <w:lang w:val="en-US" w:eastAsia="zh-CN"/>
          <w14:textFill>
            <w14:solidFill>
              <w14:schemeClr w14:val="tx1"/>
            </w14:solidFill>
          </w14:textFill>
        </w:rPr>
        <w:t>88</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color w:val="000000" w:themeColor="text1"/>
          <w:sz w:val="32"/>
          <w:szCs w:val="32"/>
          <w:shd w:val="clear" w:color="auto" w:fill="FFFFFF"/>
          <w14:textFill>
            <w14:solidFill>
              <w14:schemeClr w14:val="tx1"/>
            </w14:solidFill>
          </w14:textFill>
        </w:rPr>
        <w:t>生师比为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14.20</w:t>
      </w:r>
      <w:r>
        <w:rPr>
          <w:rFonts w:hint="eastAsia" w:ascii="仿宋" w:hAnsi="仿宋" w:eastAsia="仿宋" w:cs="仿宋"/>
          <w:color w:val="000000" w:themeColor="text1"/>
          <w:sz w:val="32"/>
          <w:szCs w:val="32"/>
          <w:shd w:val="clear" w:color="auto" w:fill="FFFFFF"/>
          <w14:textFill>
            <w14:solidFill>
              <w14:schemeClr w14:val="tx1"/>
            </w14:solidFill>
          </w14:textFill>
        </w:rPr>
        <w:t>，教师学历全部达标，专任教师本科以上学历比例达100%，专任教师高级职称教师比例达43%，专任专业课教师占专任教师的比例达到96.67%，专任专业课教师“双师型”比例达到33%，教师素质各项指标比例均已达标。与上一年度相比，本年度教师学历全部达标。</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1.4设施设备</w:t>
      </w:r>
    </w:p>
    <w:p>
      <w:pPr>
        <w:pStyle w:val="4"/>
        <w:widowControl/>
        <w:shd w:val="clear" w:color="auto" w:fill="FFFFFF"/>
        <w:spacing w:beforeAutospacing="0" w:afterAutospacing="0" w:line="555" w:lineRule="atLeast"/>
        <w:ind w:left="319" w:leftChars="152"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校内实验实训设备总价值1247.51万元，全日制在校生生均设备值11583.19元，生均实训实习工位数1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48</w:t>
      </w:r>
      <w:r>
        <w:rPr>
          <w:rFonts w:hint="eastAsia" w:ascii="仿宋" w:hAnsi="仿宋" w:eastAsia="仿宋" w:cs="仿宋"/>
          <w:color w:val="000000" w:themeColor="text1"/>
          <w:sz w:val="32"/>
          <w:szCs w:val="32"/>
          <w:shd w:val="clear" w:color="auto" w:fill="FFFFFF"/>
          <w14:textFill>
            <w14:solidFill>
              <w14:schemeClr w14:val="tx1"/>
            </w14:solidFill>
          </w14:textFill>
        </w:rPr>
        <w:t>个，图书馆纸质藏书30584册，价值91.75万元，本年度新增固定资产总值0.14万元。</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二、学生发展</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2.1学生素质</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思想政治状况总体良好，文化课合格率、专业技能合格率和体质测评合格率有所上升。</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年份</w:t>
            </w:r>
          </w:p>
        </w:tc>
        <w:tc>
          <w:tcPr>
            <w:tcW w:w="1704"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思想政治状况合格率</w:t>
            </w:r>
          </w:p>
        </w:tc>
        <w:tc>
          <w:tcPr>
            <w:tcW w:w="1704"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文化课合格率</w:t>
            </w:r>
          </w:p>
        </w:tc>
        <w:tc>
          <w:tcPr>
            <w:tcW w:w="1705" w:type="dxa"/>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专业技能合格率</w:t>
            </w:r>
          </w:p>
        </w:tc>
        <w:tc>
          <w:tcPr>
            <w:tcW w:w="1705" w:type="dxa"/>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体质测评合格率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8</w:t>
            </w:r>
          </w:p>
        </w:tc>
        <w:tc>
          <w:tcPr>
            <w:tcW w:w="1704"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100</w:t>
            </w:r>
          </w:p>
        </w:tc>
        <w:tc>
          <w:tcPr>
            <w:tcW w:w="1704"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90</w:t>
            </w:r>
          </w:p>
        </w:tc>
        <w:tc>
          <w:tcPr>
            <w:tcW w:w="1705"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97</w:t>
            </w:r>
          </w:p>
        </w:tc>
        <w:tc>
          <w:tcPr>
            <w:tcW w:w="1705" w:type="dxa"/>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bottom"/>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9</w:t>
            </w:r>
          </w:p>
        </w:tc>
        <w:tc>
          <w:tcPr>
            <w:tcW w:w="1704" w:type="dxa"/>
            <w:vAlign w:val="bottom"/>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100</w:t>
            </w:r>
          </w:p>
        </w:tc>
        <w:tc>
          <w:tcPr>
            <w:tcW w:w="1704" w:type="dxa"/>
            <w:vAlign w:val="bottom"/>
          </w:tcPr>
          <w:p>
            <w:pPr>
              <w:widowControl/>
              <w:jc w:val="center"/>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100</w:t>
            </w:r>
          </w:p>
        </w:tc>
        <w:tc>
          <w:tcPr>
            <w:tcW w:w="1705" w:type="dxa"/>
            <w:vAlign w:val="bottom"/>
          </w:tcPr>
          <w:p>
            <w:pPr>
              <w:widowControl/>
              <w:jc w:val="center"/>
              <w:textAlignment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100</w:t>
            </w:r>
          </w:p>
        </w:tc>
        <w:tc>
          <w:tcPr>
            <w:tcW w:w="1705" w:type="dxa"/>
            <w:vAlign w:val="bottom"/>
          </w:tcPr>
          <w:p>
            <w:pPr>
              <w:widowControl/>
              <w:jc w:val="center"/>
              <w:textAlignment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lang w:bidi="ar"/>
                <w14:textFill>
                  <w14:solidFill>
                    <w14:schemeClr w14:val="tx1"/>
                  </w14:solidFill>
                </w14:textFill>
              </w:rPr>
              <w:t>98</w:t>
            </w:r>
          </w:p>
        </w:tc>
      </w:tr>
    </w:tbl>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2.2在校体验</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学校制定了“勐海县职业高级中学办学质量满意度调查问卷”，随机选取了在校的高一和高二年级共计22个班，发放问卷 415份，主要从理论学习满意度，专业学习满意度，实习实训满意度，校园文化与社团活动满意度，生活满意度，校园安全满意度进行调查，回收了415份问卷调查，回收率达100%，具体情况如下表：</w:t>
      </w:r>
    </w:p>
    <w:tbl>
      <w:tblPr>
        <w:tblStyle w:val="6"/>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036"/>
        <w:gridCol w:w="1036"/>
        <w:gridCol w:w="610"/>
        <w:gridCol w:w="84"/>
        <w:gridCol w:w="766"/>
        <w:gridCol w:w="993"/>
        <w:gridCol w:w="992"/>
        <w:gridCol w:w="992"/>
        <w:gridCol w:w="72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68" w:type="dxa"/>
            <w:gridSpan w:val="6"/>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理论学习满意度</w:t>
            </w:r>
          </w:p>
        </w:tc>
        <w:tc>
          <w:tcPr>
            <w:tcW w:w="4413" w:type="dxa"/>
            <w:gridSpan w:val="5"/>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专业学习满意度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610"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850"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0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37%</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38%</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19%</w:t>
            </w:r>
          </w:p>
        </w:tc>
        <w:tc>
          <w:tcPr>
            <w:tcW w:w="610"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w:t>
            </w:r>
          </w:p>
        </w:tc>
        <w:tc>
          <w:tcPr>
            <w:tcW w:w="850" w:type="dxa"/>
            <w:gridSpan w:val="2"/>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24%</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39%</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29%</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8%</w:t>
            </w:r>
          </w:p>
        </w:tc>
        <w:tc>
          <w:tcPr>
            <w:tcW w:w="709" w:type="dxa"/>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4568" w:type="dxa"/>
            <w:gridSpan w:val="6"/>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实习实训满意度</w:t>
            </w:r>
          </w:p>
        </w:tc>
        <w:tc>
          <w:tcPr>
            <w:tcW w:w="4413" w:type="dxa"/>
            <w:gridSpan w:val="5"/>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校园文化与社团活动满意度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694"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6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0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24%</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41%</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26%</w:t>
            </w:r>
          </w:p>
        </w:tc>
        <w:tc>
          <w:tcPr>
            <w:tcW w:w="694"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w:t>
            </w:r>
          </w:p>
        </w:tc>
        <w:tc>
          <w:tcPr>
            <w:tcW w:w="766" w:type="dxa"/>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23%</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31%</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36%</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w:t>
            </w:r>
          </w:p>
        </w:tc>
        <w:tc>
          <w:tcPr>
            <w:tcW w:w="70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8" w:type="dxa"/>
            <w:gridSpan w:val="6"/>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生活满意度</w:t>
            </w:r>
          </w:p>
        </w:tc>
        <w:tc>
          <w:tcPr>
            <w:tcW w:w="4413" w:type="dxa"/>
            <w:gridSpan w:val="5"/>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校园安全满意度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694"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6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一般</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比较</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非常</w:t>
            </w:r>
          </w:p>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满意</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无法评</w:t>
            </w:r>
          </w:p>
        </w:tc>
        <w:tc>
          <w:tcPr>
            <w:tcW w:w="709"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27%</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43%</w:t>
            </w:r>
          </w:p>
        </w:tc>
        <w:tc>
          <w:tcPr>
            <w:tcW w:w="103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24%</w:t>
            </w:r>
          </w:p>
        </w:tc>
        <w:tc>
          <w:tcPr>
            <w:tcW w:w="694" w:type="dxa"/>
            <w:gridSpan w:val="2"/>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w:t>
            </w:r>
          </w:p>
        </w:tc>
        <w:tc>
          <w:tcPr>
            <w:tcW w:w="766"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p>
        </w:tc>
        <w:tc>
          <w:tcPr>
            <w:tcW w:w="993"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26%</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30%</w:t>
            </w:r>
          </w:p>
        </w:tc>
        <w:tc>
          <w:tcPr>
            <w:tcW w:w="992"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36%</w:t>
            </w:r>
          </w:p>
        </w:tc>
        <w:tc>
          <w:tcPr>
            <w:tcW w:w="727" w:type="dxa"/>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8%</w:t>
            </w:r>
          </w:p>
        </w:tc>
        <w:tc>
          <w:tcPr>
            <w:tcW w:w="709" w:type="dxa"/>
            <w:vAlign w:val="center"/>
          </w:tcPr>
          <w:p>
            <w:pPr>
              <w:pStyle w:val="4"/>
              <w:widowControl/>
              <w:shd w:val="clear" w:color="auto" w:fill="FFFFFF"/>
              <w:spacing w:beforeAutospacing="0" w:afterAutospacing="0" w:line="555" w:lineRule="atLeast"/>
              <w:ind w:firstLine="600"/>
              <w:jc w:val="center"/>
              <w:rPr>
                <w:rFonts w:hint="eastAsia" w:ascii="仿宋" w:hAnsi="仿宋" w:eastAsia="仿宋" w:cs="仿宋"/>
                <w:color w:val="000000" w:themeColor="text1"/>
                <w:sz w:val="32"/>
                <w:szCs w:val="32"/>
                <w:shd w:val="clear" w:color="auto" w:fill="FFFFFF"/>
                <w14:textFill>
                  <w14:solidFill>
                    <w14:schemeClr w14:val="tx1"/>
                  </w14:solidFill>
                </w14:textFill>
              </w:rPr>
            </w:pPr>
          </w:p>
        </w:tc>
      </w:tr>
    </w:tbl>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2.3资助情况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学校严格执行上级免学费和助学金政策，全部落实到位。持续关注并切实做好贫困生资助工作。一是积极联系合作企业，对品学兼优学生进行资助，</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爱心人士张志勇联系</w:t>
      </w:r>
      <w:r>
        <w:rPr>
          <w:rFonts w:hint="eastAsia" w:ascii="仿宋" w:hAnsi="仿宋" w:eastAsia="仿宋" w:cs="仿宋"/>
          <w:color w:val="000000" w:themeColor="text1"/>
          <w:sz w:val="32"/>
          <w:szCs w:val="32"/>
          <w:shd w:val="clear" w:color="auto" w:fill="FFFFFF"/>
          <w14:textFill>
            <w14:solidFill>
              <w14:schemeClr w14:val="tx1"/>
            </w14:solidFill>
          </w14:textFill>
        </w:rPr>
        <w:t>爱心慈善基金会对我校</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10</w:t>
      </w:r>
      <w:r>
        <w:rPr>
          <w:rFonts w:hint="eastAsia" w:ascii="仿宋" w:hAnsi="仿宋" w:eastAsia="仿宋" w:cs="仿宋"/>
          <w:color w:val="000000" w:themeColor="text1"/>
          <w:sz w:val="32"/>
          <w:szCs w:val="32"/>
          <w:shd w:val="clear" w:color="auto" w:fill="FFFFFF"/>
          <w14:textFill>
            <w14:solidFill>
              <w14:schemeClr w14:val="tx1"/>
            </w14:solidFill>
          </w14:textFill>
        </w:rPr>
        <w:t>名学生进行资助，资助标准为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10</w:t>
      </w:r>
      <w:r>
        <w:rPr>
          <w:rFonts w:hint="eastAsia" w:ascii="仿宋" w:hAnsi="仿宋" w:eastAsia="仿宋" w:cs="仿宋"/>
          <w:color w:val="000000" w:themeColor="text1"/>
          <w:sz w:val="32"/>
          <w:szCs w:val="32"/>
          <w:shd w:val="clear" w:color="auto" w:fill="FFFFFF"/>
          <w14:textFill>
            <w14:solidFill>
              <w14:schemeClr w14:val="tx1"/>
            </w14:solidFill>
          </w14:textFill>
        </w:rPr>
        <w:t>00元/生。二是按照上级部门的名额分配，做好省政府奖学金</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国家奖学金</w:t>
      </w:r>
      <w:r>
        <w:rPr>
          <w:rFonts w:hint="eastAsia" w:ascii="仿宋" w:hAnsi="仿宋" w:eastAsia="仿宋" w:cs="仿宋"/>
          <w:color w:val="000000" w:themeColor="text1"/>
          <w:sz w:val="32"/>
          <w:szCs w:val="32"/>
          <w:shd w:val="clear" w:color="auto" w:fill="FFFFFF"/>
          <w14:textFill>
            <w14:solidFill>
              <w14:schemeClr w14:val="tx1"/>
            </w14:solidFill>
          </w14:textFill>
        </w:rPr>
        <w:t>申报工作，201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9</w:t>
      </w:r>
      <w:r>
        <w:rPr>
          <w:rFonts w:hint="eastAsia" w:ascii="仿宋" w:hAnsi="仿宋" w:eastAsia="仿宋" w:cs="仿宋"/>
          <w:color w:val="000000" w:themeColor="text1"/>
          <w:sz w:val="32"/>
          <w:szCs w:val="32"/>
          <w:shd w:val="clear" w:color="auto" w:fill="FFFFFF"/>
          <w14:textFill>
            <w14:solidFill>
              <w14:schemeClr w14:val="tx1"/>
            </w14:solidFill>
          </w14:textFill>
        </w:rPr>
        <w:t>年省政府奖学金申报2人（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段劲帮</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温颖昱</w:t>
      </w:r>
      <w:r>
        <w:rPr>
          <w:rFonts w:hint="eastAsia" w:ascii="仿宋" w:hAnsi="仿宋" w:eastAsia="仿宋" w:cs="仿宋"/>
          <w:color w:val="000000" w:themeColor="text1"/>
          <w:sz w:val="32"/>
          <w:szCs w:val="32"/>
          <w:shd w:val="clear" w:color="auto" w:fill="FFFFFF"/>
          <w14:textFill>
            <w14:solidFill>
              <w14:schemeClr w14:val="tx1"/>
            </w14:solidFill>
          </w14:textFill>
        </w:rPr>
        <w:t>），标准为4000元/</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人，国家奖学金</w:t>
      </w:r>
      <w:r>
        <w:rPr>
          <w:rFonts w:hint="eastAsia" w:ascii="仿宋" w:hAnsi="仿宋" w:eastAsia="仿宋" w:cs="仿宋"/>
          <w:color w:val="000000" w:themeColor="text1"/>
          <w:sz w:val="32"/>
          <w:szCs w:val="32"/>
          <w:shd w:val="clear" w:color="auto" w:fill="FFFFFF"/>
          <w14:textFill>
            <w14:solidFill>
              <w14:schemeClr w14:val="tx1"/>
            </w14:solidFill>
          </w14:textFill>
        </w:rPr>
        <w:t>申报</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1人，</w:t>
      </w:r>
      <w:r>
        <w:rPr>
          <w:rFonts w:hint="eastAsia" w:ascii="仿宋" w:hAnsi="仿宋" w:eastAsia="仿宋" w:cs="仿宋"/>
          <w:color w:val="000000" w:themeColor="text1"/>
          <w:sz w:val="32"/>
          <w:szCs w:val="32"/>
          <w:shd w:val="clear" w:color="auto" w:fill="FFFFFF"/>
          <w14:textFill>
            <w14:solidFill>
              <w14:schemeClr w14:val="tx1"/>
            </w14:solidFill>
          </w14:textFill>
        </w:rPr>
        <w:t>标准为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6</w:t>
      </w:r>
      <w:r>
        <w:rPr>
          <w:rFonts w:hint="eastAsia" w:ascii="仿宋" w:hAnsi="仿宋" w:eastAsia="仿宋" w:cs="仿宋"/>
          <w:color w:val="000000" w:themeColor="text1"/>
          <w:sz w:val="32"/>
          <w:szCs w:val="32"/>
          <w:shd w:val="clear" w:color="auto" w:fill="FFFFFF"/>
          <w14:textFill>
            <w14:solidFill>
              <w14:schemeClr w14:val="tx1"/>
            </w14:solidFill>
          </w14:textFill>
        </w:rPr>
        <w:t>000元/</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人</w:t>
      </w:r>
      <w:r>
        <w:rPr>
          <w:rFonts w:hint="eastAsia" w:ascii="仿宋" w:hAnsi="仿宋" w:eastAsia="仿宋" w:cs="仿宋"/>
          <w:color w:val="000000" w:themeColor="text1"/>
          <w:sz w:val="32"/>
          <w:szCs w:val="32"/>
          <w:shd w:val="clear" w:color="auto" w:fill="FFFFFF"/>
          <w14:textFill>
            <w14:solidFill>
              <w14:schemeClr w14:val="tx1"/>
            </w14:solidFill>
          </w14:textFill>
        </w:rPr>
        <w:t>。三是认真开展东西协作行动计划，2018年送17名建档立卡贫困户学生到</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广东省东莞市纺织服装学校</w:t>
      </w:r>
      <w:r>
        <w:rPr>
          <w:rFonts w:hint="eastAsia" w:ascii="仿宋" w:hAnsi="仿宋" w:eastAsia="仿宋" w:cs="仿宋"/>
          <w:color w:val="000000" w:themeColor="text1"/>
          <w:sz w:val="32"/>
          <w:szCs w:val="32"/>
          <w:shd w:val="clear" w:color="auto" w:fill="FFFFFF"/>
          <w14:textFill>
            <w14:solidFill>
              <w14:schemeClr w14:val="tx1"/>
            </w14:solidFill>
          </w14:textFill>
        </w:rPr>
        <w:t>入学就读。</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2.4就业质量</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2019年毕业256人</w:t>
      </w:r>
    </w:p>
    <w:tbl>
      <w:tblPr>
        <w:tblStyle w:val="5"/>
        <w:tblW w:w="9322" w:type="dxa"/>
        <w:tblInd w:w="0" w:type="dxa"/>
        <w:shd w:val="clear" w:color="auto" w:fill="FFFFFF"/>
        <w:tblLayout w:type="fixed"/>
        <w:tblCellMar>
          <w:top w:w="0" w:type="dxa"/>
          <w:left w:w="0" w:type="dxa"/>
          <w:bottom w:w="0" w:type="dxa"/>
          <w:right w:w="0" w:type="dxa"/>
        </w:tblCellMar>
      </w:tblPr>
      <w:tblGrid>
        <w:gridCol w:w="2117"/>
        <w:gridCol w:w="1535"/>
        <w:gridCol w:w="1276"/>
        <w:gridCol w:w="1780"/>
        <w:gridCol w:w="2614"/>
      </w:tblGrid>
      <w:tr>
        <w:tblPrEx>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毕业人数</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就业率</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专业对口率</w:t>
            </w:r>
          </w:p>
        </w:tc>
        <w:tc>
          <w:tcPr>
            <w:tcW w:w="26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初次就业起薪</w:t>
            </w:r>
          </w:p>
        </w:tc>
      </w:tr>
      <w:tr>
        <w:tblPrEx>
          <w:shd w:val="clear" w:color="auto" w:fill="FFFFFF"/>
          <w:tblCellMar>
            <w:top w:w="0" w:type="dxa"/>
            <w:left w:w="0" w:type="dxa"/>
            <w:bottom w:w="0" w:type="dxa"/>
            <w:right w:w="0" w:type="dxa"/>
          </w:tblCellMar>
        </w:tblPrEx>
        <w:trPr>
          <w:trHeight w:val="461"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茶叶生产与加工</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92</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91%</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68%</w:t>
            </w:r>
          </w:p>
        </w:tc>
        <w:tc>
          <w:tcPr>
            <w:tcW w:w="2614"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1500元</w:t>
            </w:r>
          </w:p>
        </w:tc>
      </w:tr>
      <w:tr>
        <w:tblPrEx>
          <w:shd w:val="clear" w:color="auto" w:fill="FFFFFF"/>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计算机应用</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61</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92%</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19%</w:t>
            </w:r>
          </w:p>
        </w:tc>
        <w:tc>
          <w:tcPr>
            <w:tcW w:w="2614" w:type="dxa"/>
            <w:vMerge w:val="continue"/>
            <w:tcBorders>
              <w:left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p>
        </w:tc>
      </w:tr>
      <w:tr>
        <w:tblPrEx>
          <w:shd w:val="clear" w:color="auto" w:fill="FFFFFF"/>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汽车运用与维修</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76</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89%</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35%</w:t>
            </w:r>
          </w:p>
        </w:tc>
        <w:tc>
          <w:tcPr>
            <w:tcW w:w="2614" w:type="dxa"/>
            <w:vMerge w:val="continue"/>
            <w:tcBorders>
              <w:left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p>
        </w:tc>
      </w:tr>
      <w:tr>
        <w:tblPrEx>
          <w:shd w:val="clear" w:color="auto" w:fill="FFFFFF"/>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酒店服务与管理</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27</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93%</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19%</w:t>
            </w:r>
          </w:p>
        </w:tc>
        <w:tc>
          <w:tcPr>
            <w:tcW w:w="2614" w:type="dxa"/>
            <w:vMerge w:val="continue"/>
            <w:tcBorders>
              <w:left w:val="single" w:color="auto" w:sz="8" w:space="0"/>
              <w:bottom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p>
        </w:tc>
      </w:tr>
    </w:tbl>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2.5职业发展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开办的各专业制订专业培养方案，重构课程体系和确定课程标准，遵循学生的认知规律及职业成长规律，真正形成融合学生人文素养、专业知识、职业技能、职业态度和职业素养的培养体系，其中包含通过校内实训、校外实训和顶岗实习递进式的系统的专业实践教学体系。</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学校在学生实习实训的过程中，严格执行上级文件要求，做好学生实习工作，遵循学生成长规律和职业能力形成规律，保护学生合法权益，服务学生全面发展。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三、质量保障措施</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3.1专业动态调整</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学校共开设茶叶生产与加工、汽车运用与维修、计算机应用、旅游服务与管理、民族音乐与舞蹈等五个专业，具体情况见下表：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73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专业名称</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主要专业技能</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职业资格证书例举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茶叶生产与加工</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茶艺表演，茶艺师实训，茶叶加工与紧压茶制作，茶叶种植，茶文化学</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茶艺师，评茶员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汽车运用与维修</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汽车机修，汽车电器维修，汽车性能检测，汽车装饰与美容</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摩托车修理，电焊工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计算机应用</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平面广告设计与制作，动画制作，室内外装修与设计，影视后期制作</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办公软件，图形图像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旅游服务与管理</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导游业务，客房餐饮服务与管理，服务礼仪，旅游地理，旅游心理</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普通话，客房餐饮服务，前厅服务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民族音乐与舞蹈</w:t>
            </w:r>
          </w:p>
        </w:tc>
        <w:tc>
          <w:tcPr>
            <w:tcW w:w="3730"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民族音乐，民族舞蹈，琴法，学前心理学，学前教育学，手工制作</w:t>
            </w:r>
          </w:p>
        </w:tc>
        <w:tc>
          <w:tcPr>
            <w:tcW w:w="2841"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普通话，乐器</w:t>
            </w:r>
          </w:p>
        </w:tc>
      </w:tr>
    </w:tbl>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突出专业建设，促进科学发展。学校制定了校本教材开发、应用和更新制度，能根据产业、职业和岗位需求，积极开发校本教材。</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3.2 深化教学改革，促进内涵发展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一是改变教学理念。</w:t>
      </w:r>
      <w:r>
        <w:rPr>
          <w:rFonts w:hint="eastAsia" w:ascii="仿宋" w:hAnsi="仿宋" w:eastAsia="仿宋" w:cs="仿宋"/>
          <w:color w:val="000000" w:themeColor="text1"/>
          <w:sz w:val="32"/>
          <w:szCs w:val="32"/>
          <w:shd w:val="clear" w:color="auto" w:fill="FFFFFF"/>
          <w14:textFill>
            <w14:solidFill>
              <w14:schemeClr w14:val="tx1"/>
            </w14:solidFill>
          </w14:textFill>
        </w:rPr>
        <w:t>贯彻“做中学，做中教”的教学理念，改变传统教学环境，建设了一体化的实习实训车间两间，音乐舞蹈实训室一间，汽修大棚一间，计算机实训室七间，钢琴房一间，卡魁实验室一间等等，因地制宜的开展教学工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二是教材选用。</w:t>
      </w:r>
      <w:r>
        <w:rPr>
          <w:rFonts w:hint="eastAsia" w:ascii="仿宋" w:hAnsi="仿宋" w:eastAsia="仿宋" w:cs="仿宋"/>
          <w:color w:val="000000" w:themeColor="text1"/>
          <w:sz w:val="32"/>
          <w:szCs w:val="32"/>
          <w:shd w:val="clear" w:color="auto" w:fill="FFFFFF"/>
          <w14:textFill>
            <w14:solidFill>
              <w14:schemeClr w14:val="tx1"/>
            </w14:solidFill>
          </w14:textFill>
        </w:rPr>
        <w:t>教材严格按照国家推荐的中职类教材目录选用，以高等教育出版社为主，选用正规出版社，保证教材质量，发放时间及时，让师生放心使用。</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三是确立新型教育理念，优化课程结构与实践环节，提高教学效率。</w:t>
      </w:r>
      <w:r>
        <w:rPr>
          <w:rFonts w:hint="eastAsia" w:ascii="仿宋" w:hAnsi="仿宋" w:eastAsia="仿宋" w:cs="仿宋"/>
          <w:color w:val="000000" w:themeColor="text1"/>
          <w:sz w:val="32"/>
          <w:szCs w:val="32"/>
          <w:shd w:val="clear" w:color="auto" w:fill="FFFFFF"/>
          <w14:textFill>
            <w14:solidFill>
              <w14:schemeClr w14:val="tx1"/>
            </w14:solidFill>
          </w14:textFill>
        </w:rPr>
        <w:t>公共基础课程改革遵循“服务素质、服务技能”的原则，分为基础性和应用性两个模块，前者面向全体学生，后者面向专业大类。一方面重视文化课提高学生基本文化素质的功能，另一方面强化文化课为专业课服务的功能。专业基础课改革遵循综合化原则，以技能为中心，以够用为度，开发适应技能型人才培养需要的综合基础理论课程。专业实践课改革遵循“宽基础、模块化”原则，既夯实基础，又突出专业方向。</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四是人才培养模式。</w:t>
      </w:r>
      <w:r>
        <w:rPr>
          <w:rFonts w:hint="eastAsia" w:ascii="仿宋" w:hAnsi="仿宋" w:eastAsia="仿宋" w:cs="仿宋"/>
          <w:color w:val="000000" w:themeColor="text1"/>
          <w:sz w:val="32"/>
          <w:szCs w:val="32"/>
          <w:shd w:val="clear" w:color="auto" w:fill="FFFFFF"/>
          <w14:textFill>
            <w14:solidFill>
              <w14:schemeClr w14:val="tx1"/>
            </w14:solidFill>
          </w14:textFill>
        </w:rPr>
        <w:t>以培养学生的技术应用能力为目标构建相对独立的实践教学体系，加大实践教学学时在计划总学时中的比例。 以改善教师的知识结构，提高教师的职称层次、学历层次和技术应用水平和实践能力为目标，以“走出去，请进来”为途径，努力塑造“双师型及专、兼职相结合的师资队伍”。</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3.3 教师培养培训</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教师培养培训分为校内培训和校外派出培训。学校制定了每一学年度的教科研计划，认真按照计划实施教科研活动，培养培训教师。每一星期开展一次教研活动，就教学中存在的问题进行探讨，集思广益，解决存在问题；每一学年举办一次教学比赛，以说课、讲课方式进行，对教师的教案设计、课件制作、现场说课、讲课进行评价，以赛促改，以赛促进，调动教师钻研教学方法积极性，提高教师的教学艺术；每学年举办一些专题讲座，如《师德的培养》《如何说课》《如何提高职高学生的动手能力》《如何做好职高班主任经验分享》等等，结合学校问题，请有经验的教师做培训，提高教师的管理能力和教学能力；认真做好网上的远程培训工作，保证每个教师顺利过关。校外培训按照上级部门下发的指标来完成相关专业教师培训。</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3.4 规范管理情况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深化教学改革，实施“中等职业教育‘2.5+0.5’”的教学安排，公共基础课程与专业技能课程总学时之比平均为4：6。</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加强教学管理工作。各专业根据专业特点，积极探索和实施小组学习、合作学习和自主学习，因材施教，同时学校还制定了一系列的规章制度，如教师请销假制度、课堂教学常规管理细则、教师考勤制度等等，以保证教学的正常开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做实学生管理工作。一是切实做好班主任队伍建设及班主任量化考核评价体系等工作；二是扎实做好建立健全学生评价体系，抓好学生干部制度建设和队伍建设，充分发挥班干部、学生会干部的带头作用，抓好迎新、入学教育和军训等相关工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推进教学信息化。学校与广州车拉夫公司紧密合作，购买汽车运用与维修专业教学软件，所有教室都配备了多媒体，所有教师均能运用信息化手段开展课堂教学和网络教学。</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规范化管理，加强后勤制度建设。学校建立了由校长负总责、分管领导专门抓、总务主任具体抓的工作领导小组，建立健全了有关后勤管理制度，以此作为开展各项工作的抓手。实行了购物、领物制度，实物台帐制度，固定资产管理制度。同时做好固定资产的清点、核实工作。学校与食堂、小卖部承包经营户签订承包合同，制定食堂食品安全卫生的《食堂卫生制定》、《餐具消毒管理制度》、《从业人员健康检查制度》等管理制度，每周对食堂进行两到三次检查，督促食堂按照相关要求操作，保证学校食堂的食品安全、卫生，保证对学生食品的供应质量和数量，同时接受上级食药监、教育局等相关部门的督促检查。学校成立了校长为组长的食品卫生安全工作领导小组，处理食品突发事件应急预案。</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组建了以校长为组长，分管学生安全工作和分管学校德育工作的两位副校级领导为副组长，各处室负责人和各班主任为成员的工作领导小组。校长为学校安全工作第一责任人，领导小组成员和各职能部门负责人分工明确，职责分明，形成一级抓一级、层层抓落实的责任网络。学校安全管理实施过程中有计划、有方案、有部署，对各处室和班主任、生活老师有阶段性检查、有考核。</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严格财务管理制度。严格按照国家财务政策，根据相关法律法规制定《会计工作职责》、《出纳人员工作职责》、《职中公用经费管理制度》等管理制度，在教育局计财股的指导下开展工作；各种经费使用一律按照收支两条线的原则进行管理；各种开支、发票实行层层审核、一支笔签字，责任到人；接受上级相关部门的检查、督促，国家助学金的发放严格按照班主任核对、公示、发放、再公示，接受学生、家长、社会和教职工的监督。</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3.5 创新德育工作，促进学生发展</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开齐开足德育课，坚持每周一节班会课。进一步积淀校园文化。学校通过各种途径，加强“三风”建设，逐步形成了良好的校风、教风、学风；扎实开展“抓小事工程”，推进“细节文化”建设，使全校师生在追求精致的基础上不断超越自我。</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进一步加强校园环境建设。整个校园美化、绿化、净化，校内陈设与布置合理，具有艺术性、观赏性和教育性，整个校园具有浓郁的文化气息。</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校园文化活动丰富多彩。开展德育主题活动、志愿服务活动等各类活动精彩纷呈，举办一年一度的校园文化周、职业教育活动周专业技能比赛、五四活动、中秋国庆晚会等一系列活动，开展学雷锋系列活动，社团活动丰富多彩，开展了篮球、足球、羽毛球、茶艺、汽修、计算机、乒乓球、音乐、舞蹈、餐饮、客房等兴趣小组，丰富学校学生的课余文化生活。</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3.6党建情况</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党支部紧紧围绕学校改革发展这一中心和育人的根本任务，充分发挥政治核心和战斗堡垒作用，全面贯彻党的教育方针，积极探索党建和教育教学工作有机结合的有效途径，提高了党组织的创造力、凝聚力和战斗力，取得了显著的育人效益和办学效益。学校以其校风正、师资高、管理严、质量好跻身于“学生满意、家长放心、社会认可”的学校行列。以“两学一做”和“十九大报告精神”为指导，开展全校性政治理论学校活动。发挥党员先进性，通过党员的带头与辐射，提高全校教职工特别是党员干部的素质。</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以“挂包帮、转走访”为契机，扎实开展职业教育宣传。切实做到教育精准扶贫、技能精准扶贫。</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学校党支部现有</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43</w:t>
      </w:r>
      <w:r>
        <w:rPr>
          <w:rFonts w:hint="eastAsia" w:ascii="仿宋" w:hAnsi="仿宋" w:eastAsia="仿宋" w:cs="仿宋"/>
          <w:color w:val="000000" w:themeColor="text1"/>
          <w:sz w:val="32"/>
          <w:szCs w:val="32"/>
          <w:shd w:val="clear" w:color="auto" w:fill="FFFFFF"/>
          <w14:textFill>
            <w14:solidFill>
              <w14:schemeClr w14:val="tx1"/>
            </w14:solidFill>
          </w14:textFill>
        </w:rPr>
        <w:t>名党员（3</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名在职党员，8名离退休党员），设4个党小组，各党小组按照支部要求，认真开展学校党建工作，认真学习习近平总书记重要讲话精神及十九大报告精神。</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四、校企合作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4.1校企合作开展情况和效果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学校选择了23家企业作为学校的校外实习基地，并签订了学生实习（实训）协议，各实习基地都能提供充足的岗位满足学生实习需要。</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近几年来，学校投入实验实训设备及教学工作环境进行改善，使学校教学软、硬件达到现代化学校标准要求。</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4.2 学生实习情况</w:t>
      </w:r>
      <w:bookmarkStart w:id="0" w:name="_GoBack"/>
      <w:bookmarkEnd w:id="0"/>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严格执行《教育部等五部门关于印发&lt;职业学校学生实习管理规定&gt;的通知》(教职成[2016]3号)要求,制定了《勐海县职业高级中学学生实习就业管理制度》，强化领导，校长为学校实习、就业领导小组组长、招就处、教务处、班主任为成员。</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任务明确。每学期开学前一周，制定好本学期的工作计划，学期结束时完成工作小结。</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细化管理。每安排一次校外生产实习之前，召开家长会、实习动员会。由招就处进行就业指导，职业道德教育，安排好生产实习后，要签定协议。</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4.3 集团化办学情况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学校未开展集团化办学。</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五、社会贡献</w:t>
      </w:r>
    </w:p>
    <w:p>
      <w:pPr>
        <w:pStyle w:val="4"/>
        <w:widowControl/>
        <w:shd w:val="clear" w:color="auto" w:fill="FFFFFF"/>
        <w:spacing w:beforeAutospacing="0" w:afterAutospacing="0" w:line="555" w:lineRule="atLeast"/>
        <w:ind w:firstLine="6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5.1技术技能人才培养</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以服务产业发展为宗旨，以促进就业为导向，坚持多元化办学、科学化管理的办学思路，以创建为抓手，注重学校的品质、内涵、特色、创新发展，着力培养学生综合职业能力和就业竞争力，努力把学校做精做强、办出特色。</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近几年来，学校与县扶贫办、县就业局等相关部门联合开展职业技能培训、劳动力转移培训等，多渠道、多形式为社会发展提供技能培训师资支撑，为社会培养技术技能型专业人才。</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5.2社会服务</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专业师资和实训基地对社会各界开放，开展对外技术服务和送培下乡，提升服务社会民生和扶贫攻坚的能力，得到县委县政府的高度评价。</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5.3对口支援</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9</w:t>
      </w:r>
      <w:r>
        <w:rPr>
          <w:rFonts w:hint="eastAsia" w:ascii="仿宋" w:hAnsi="仿宋" w:eastAsia="仿宋" w:cs="仿宋"/>
          <w:color w:val="000000" w:themeColor="text1"/>
          <w:sz w:val="32"/>
          <w:szCs w:val="32"/>
          <w:shd w:val="clear" w:color="auto" w:fill="FFFFFF"/>
          <w14:textFill>
            <w14:solidFill>
              <w14:schemeClr w14:val="tx1"/>
            </w14:solidFill>
          </w14:textFill>
        </w:rPr>
        <w:t>年学校上海市松江区新桥镇职业技术学校、</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上海市城市科技学校、广东省食品药品职业技术学校、</w:t>
      </w:r>
      <w:r>
        <w:rPr>
          <w:rFonts w:hint="eastAsia" w:ascii="仿宋" w:hAnsi="仿宋" w:eastAsia="仿宋" w:cs="仿宋"/>
          <w:color w:val="000000" w:themeColor="text1"/>
          <w:sz w:val="32"/>
          <w:szCs w:val="32"/>
          <w:shd w:val="clear" w:color="auto" w:fill="FFFFFF"/>
          <w14:textFill>
            <w14:solidFill>
              <w14:schemeClr w14:val="tx1"/>
            </w14:solidFill>
          </w14:textFill>
        </w:rPr>
        <w:t>云南新兴职业学院、西双版纳职业技术学院等几所省内外院校结对，对我校的学校管理、校园建设、专业建设、师资队伍建设、学生就业实习等方面进行帮扶。学校对口帮扶勐海县勐满镇班倒村委会列车村民小组五户建档立卡贫困户形成结对帮扶户，目前五户已经脱贫致富。</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六、举办者履责</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6.1经费保障</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县政府出台职业学校生均财政拨款标准和生均预算内公用经费标准，按时足额拨付并逐步提高；省级以上建设项目地方配套经费足额到位；每年教育附加费30%足额拨付给我校；自2011年9月以来，我校就读学生实行“三免一补”（免学费、免书费、免住宿费、国家助学经补助）政策。</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建立了健全的财务和资产管理制度，资金的收入和支出严格按照学校财务管理制度和勐海县的财务制度执行，在专项资产管理上，学校明确专项资金来源、使用范围、开支标准，审批人员、权限、流程，明确了相关人员的责任，按要求、按预算、按程序管理好项目资金，政策性经费、生均拨款、项目投入经费能及时到位，严格执行财务制度，保证了财务、资产管理制度的健全、规范及执行的有效性。</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6.2政策措施</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学校强化党领导学校发展方向，校长全面负责学校各项工作，定期召开校长办公会议，党政联席会议，教职工代表大会，审议表决学校重大工作，保证政务公开透明。学校实行严格的干部管理制度。</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实行全员聘任，实施绩效管理。根据“多劳多得、优绩优酬”的原则，不断完善《奖励性绩效工资考核发放办法》，从完成工作量和取得的实绩等方面进行严格、认真、细致、公开、公正的考核，拉开奖励性绩效工资收入差距，受到了教职工广泛的拥护和支持。</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七、特色创新</w:t>
      </w:r>
    </w:p>
    <w:p>
      <w:pPr>
        <w:numPr>
          <w:ilvl w:val="0"/>
          <w:numId w:val="1"/>
        </w:num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勐海县职业高级中学结合勐海县经济社会发展实际，2007年开始招收茶叶生产与加工专业1个班27人，至今已培养茶叶生产与加工专业学生1</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85人，为勐海县茶产业的发展输送了大批专业技术人才，茶叶生产与加工专业现已成为学校的骨干专业。学校现有茶叶生产与加工专业学生9个班，五年制茶学大专班</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共333人，有茶艺实训大楼一栋（模拟茶室3间、茶艺实训教室2间、茶叶评审教室1间、茶叶加工实训室1间等）。学校组织的傣族茶艺队、哈尼族茶艺队、拉祜族茶艺队、布郎族茶艺队参加过陈升号茶叶有限公司成立十周年庆祝活动、茶王节等多种活动，活动中学生的各民族茶艺展示受到了各级领导和来宾的好评。现勐海县举办的茶王节、茶文化研讨会等涉及到茶叶方面的活动，都有我校学生参加茶艺表演或茶叶冲泡服务。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年参加西双版纳州中等职业学校技能大赛获得</w:t>
      </w:r>
      <w:r>
        <w:rPr>
          <w:rFonts w:hint="eastAsia" w:ascii="仿宋" w:hAnsi="仿宋" w:eastAsia="仿宋" w:cs="仿宋"/>
          <w:color w:val="000000" w:themeColor="text1"/>
          <w:sz w:val="32"/>
          <w:szCs w:val="32"/>
          <w:lang w:val="en-US" w:eastAsia="zh-CN"/>
          <w14:textFill>
            <w14:solidFill>
              <w14:schemeClr w14:val="tx1"/>
            </w14:solidFill>
          </w14:textFill>
        </w:rPr>
        <w:t>一等</w:t>
      </w:r>
      <w:r>
        <w:rPr>
          <w:rFonts w:hint="eastAsia" w:ascii="仿宋" w:hAnsi="仿宋" w:eastAsia="仿宋" w:cs="仿宋"/>
          <w:color w:val="000000" w:themeColor="text1"/>
          <w:sz w:val="32"/>
          <w:szCs w:val="32"/>
          <w14:textFill>
            <w14:solidFill>
              <w14:schemeClr w14:val="tx1"/>
            </w14:solidFill>
          </w14:textFill>
        </w:rPr>
        <w:t>奖</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一带一路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云南省第六届茶艺师技能大赛暨云南省民族茶文化形象大使选拔赛冠军</w:t>
      </w:r>
      <w:r>
        <w:rPr>
          <w:rFonts w:hint="eastAsia" w:ascii="仿宋" w:hAnsi="仿宋" w:eastAsia="仿宋" w:cs="仿宋"/>
          <w:color w:val="000000" w:themeColor="text1"/>
          <w:sz w:val="32"/>
          <w:szCs w:val="32"/>
          <w14:textFill>
            <w14:solidFill>
              <w14:schemeClr w14:val="tx1"/>
            </w14:solidFill>
          </w14:textFill>
        </w:rPr>
        <w:t>。</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color w:val="000000" w:themeColor="text1"/>
          <w:sz w:val="32"/>
          <w:szCs w:val="32"/>
          <w:shd w:val="clear" w:color="auto" w:fill="FFFFFF"/>
          <w14:textFill>
            <w14:solidFill>
              <w14:schemeClr w14:val="tx1"/>
            </w14:solidFill>
          </w14:textFill>
        </w:rPr>
        <w:t>八、主要问题和改进措施</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8.1人才培养中存在的问题，主要表现为：一是</w:t>
      </w:r>
      <w:r>
        <w:rPr>
          <w:rFonts w:hint="eastAsia" w:ascii="仿宋" w:hAnsi="仿宋" w:eastAsia="仿宋" w:cs="仿宋"/>
          <w:color w:val="000000" w:themeColor="text1"/>
          <w:sz w:val="32"/>
          <w:szCs w:val="32"/>
          <w:shd w:val="clear" w:color="auto" w:fill="FFFFFF"/>
          <w14:textFill>
            <w14:solidFill>
              <w14:schemeClr w14:val="tx1"/>
            </w14:solidFill>
          </w14:textFill>
        </w:rPr>
        <w:t>部分教师和管理人员的职业教育理念还没有真正确立，运用职业教育理念推进改革创新的自觉性需要进一步提高；</w:t>
      </w:r>
      <w:r>
        <w:rPr>
          <w:rFonts w:hint="eastAsia" w:ascii="仿宋" w:hAnsi="仿宋" w:eastAsia="仿宋" w:cs="仿宋"/>
          <w:b/>
          <w:bCs/>
          <w:color w:val="000000" w:themeColor="text1"/>
          <w:sz w:val="32"/>
          <w:szCs w:val="32"/>
          <w:shd w:val="clear" w:color="auto" w:fill="FFFFFF"/>
          <w14:textFill>
            <w14:solidFill>
              <w14:schemeClr w14:val="tx1"/>
            </w14:solidFill>
          </w14:textFill>
        </w:rPr>
        <w:t>二是</w:t>
      </w:r>
      <w:r>
        <w:rPr>
          <w:rFonts w:hint="eastAsia" w:ascii="仿宋" w:hAnsi="仿宋" w:eastAsia="仿宋" w:cs="仿宋"/>
          <w:color w:val="000000" w:themeColor="text1"/>
          <w:sz w:val="32"/>
          <w:szCs w:val="32"/>
          <w:shd w:val="clear" w:color="auto" w:fill="FFFFFF"/>
          <w14:textFill>
            <w14:solidFill>
              <w14:schemeClr w14:val="tx1"/>
            </w14:solidFill>
          </w14:textFill>
        </w:rPr>
        <w:t>教师队伍还存在着数量、质量、结构、能力水平等方面的不足，“双师型”师资队伍建设还有待加强和提升；</w:t>
      </w:r>
      <w:r>
        <w:rPr>
          <w:rFonts w:hint="eastAsia" w:ascii="仿宋" w:hAnsi="仿宋" w:eastAsia="仿宋" w:cs="仿宋"/>
          <w:b/>
          <w:bCs/>
          <w:color w:val="000000" w:themeColor="text1"/>
          <w:sz w:val="32"/>
          <w:szCs w:val="32"/>
          <w:shd w:val="clear" w:color="auto" w:fill="FFFFFF"/>
          <w14:textFill>
            <w14:solidFill>
              <w14:schemeClr w14:val="tx1"/>
            </w14:solidFill>
          </w14:textFill>
        </w:rPr>
        <w:t>三是</w:t>
      </w:r>
      <w:r>
        <w:rPr>
          <w:rFonts w:hint="eastAsia" w:ascii="仿宋" w:hAnsi="仿宋" w:eastAsia="仿宋" w:cs="仿宋"/>
          <w:color w:val="000000" w:themeColor="text1"/>
          <w:sz w:val="32"/>
          <w:szCs w:val="32"/>
          <w:shd w:val="clear" w:color="auto" w:fill="FFFFFF"/>
          <w14:textFill>
            <w14:solidFill>
              <w14:schemeClr w14:val="tx1"/>
            </w14:solidFill>
          </w14:textFill>
        </w:rPr>
        <w:t>推进职业教育发展还需要各级领导高度重视，持之以恒坚持做下去，让先进的学校帮助我们改善办学条件，提升办学内涵。</w:t>
      </w:r>
    </w:p>
    <w:p>
      <w:pPr>
        <w:pStyle w:val="4"/>
        <w:widowControl/>
        <w:shd w:val="clear" w:color="auto" w:fill="FFFFFF"/>
        <w:spacing w:beforeAutospacing="0" w:afterAutospacing="0" w:line="555" w:lineRule="atLeast"/>
        <w:ind w:firstLine="6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8.2改进措施如下：一要</w:t>
      </w:r>
      <w:r>
        <w:rPr>
          <w:rFonts w:hint="eastAsia" w:ascii="仿宋" w:hAnsi="仿宋" w:eastAsia="仿宋" w:cs="仿宋"/>
          <w:color w:val="000000" w:themeColor="text1"/>
          <w:sz w:val="32"/>
          <w:szCs w:val="32"/>
          <w:shd w:val="clear" w:color="auto" w:fill="FFFFFF"/>
          <w14:textFill>
            <w14:solidFill>
              <w14:schemeClr w14:val="tx1"/>
            </w14:solidFill>
          </w14:textFill>
        </w:rPr>
        <w:t>抓住“十三五”规划的发展机遇，遵照国家、省、州、县有关文件的指示精神，进一步增强办学综合实力和管理水平，全面提升人才培养质量和社会服务能力，大力推进学校创新发展、优质发展。</w:t>
      </w:r>
      <w:r>
        <w:rPr>
          <w:rFonts w:hint="eastAsia" w:ascii="仿宋" w:hAnsi="仿宋" w:eastAsia="仿宋" w:cs="仿宋"/>
          <w:b/>
          <w:bCs/>
          <w:color w:val="000000" w:themeColor="text1"/>
          <w:sz w:val="32"/>
          <w:szCs w:val="32"/>
          <w:shd w:val="clear" w:color="auto" w:fill="FFFFFF"/>
          <w14:textFill>
            <w14:solidFill>
              <w14:schemeClr w14:val="tx1"/>
            </w14:solidFill>
          </w14:textFill>
        </w:rPr>
        <w:t>二要</w:t>
      </w:r>
      <w:r>
        <w:rPr>
          <w:rFonts w:hint="eastAsia" w:ascii="仿宋" w:hAnsi="仿宋" w:eastAsia="仿宋" w:cs="仿宋"/>
          <w:color w:val="000000" w:themeColor="text1"/>
          <w:sz w:val="32"/>
          <w:szCs w:val="32"/>
          <w:shd w:val="clear" w:color="auto" w:fill="FFFFFF"/>
          <w14:textFill>
            <w14:solidFill>
              <w14:schemeClr w14:val="tx1"/>
            </w14:solidFill>
          </w14:textFill>
        </w:rPr>
        <w:t>紧跟上级教育行政部门的战略部署，积极申报实训基地项目建设，努力改善办学条件和职业高中社会影响力，进一步加强专业建设、教师队伍建设等。</w:t>
      </w:r>
      <w:r>
        <w:rPr>
          <w:rFonts w:hint="eastAsia" w:ascii="仿宋" w:hAnsi="仿宋" w:eastAsia="仿宋" w:cs="仿宋"/>
          <w:b/>
          <w:bCs/>
          <w:color w:val="000000" w:themeColor="text1"/>
          <w:sz w:val="32"/>
          <w:szCs w:val="32"/>
          <w:shd w:val="clear" w:color="auto" w:fill="FFFFFF"/>
          <w14:textFill>
            <w14:solidFill>
              <w14:schemeClr w14:val="tx1"/>
            </w14:solidFill>
          </w14:textFill>
        </w:rPr>
        <w:t>三要</w:t>
      </w:r>
      <w:r>
        <w:rPr>
          <w:rFonts w:hint="eastAsia" w:ascii="仿宋" w:hAnsi="仿宋" w:eastAsia="仿宋" w:cs="仿宋"/>
          <w:color w:val="000000" w:themeColor="text1"/>
          <w:sz w:val="32"/>
          <w:szCs w:val="32"/>
          <w:shd w:val="clear" w:color="auto" w:fill="FFFFFF"/>
          <w14:textFill>
            <w14:solidFill>
              <w14:schemeClr w14:val="tx1"/>
            </w14:solidFill>
          </w14:textFill>
        </w:rPr>
        <w:t>以学校发展为核心，着力加强“校企合作”和“校校合作”，不断地提高推进科学发展、破解突出问题的能力和水平，不断巩固和扩大学校发展所取得的成果，为全面完成</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中职教育事业</w:t>
      </w:r>
      <w:r>
        <w:rPr>
          <w:rFonts w:hint="eastAsia" w:ascii="仿宋" w:hAnsi="仿宋" w:eastAsia="仿宋" w:cs="仿宋"/>
          <w:color w:val="000000" w:themeColor="text1"/>
          <w:sz w:val="32"/>
          <w:szCs w:val="32"/>
          <w:shd w:val="clear" w:color="auto" w:fill="FFFFFF"/>
          <w14:textFill>
            <w14:solidFill>
              <w14:schemeClr w14:val="tx1"/>
            </w14:solidFill>
          </w14:textFill>
        </w:rPr>
        <w:t>建设</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而</w:t>
      </w:r>
      <w:r>
        <w:rPr>
          <w:rFonts w:hint="eastAsia" w:ascii="仿宋" w:hAnsi="仿宋" w:eastAsia="仿宋" w:cs="仿宋"/>
          <w:color w:val="000000" w:themeColor="text1"/>
          <w:sz w:val="32"/>
          <w:szCs w:val="32"/>
          <w:shd w:val="clear" w:color="auto" w:fill="FFFFFF"/>
          <w14:textFill>
            <w14:solidFill>
              <w14:schemeClr w14:val="tx1"/>
            </w14:solidFill>
          </w14:textFill>
        </w:rPr>
        <w:t>努力奋斗。</w:t>
      </w:r>
    </w:p>
    <w:p>
      <w:pPr>
        <w:rPr>
          <w:rFonts w:ascii="仿宋" w:hAnsi="仿宋" w:eastAsia="仿宋"/>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BeJKNIAAAADAQAADwAAAAAAAAABACAAAAAiAAAAZHJzL2Rvd25yZXYueG1sUEsBAhQAFAAA&#10;AAgAh07iQOG8SlguAgAAUwQAAA4AAAAAAAAAAQAgAAAAI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AFE05D"/>
    <w:multiLevelType w:val="singleLevel"/>
    <w:tmpl w:val="E6AFE0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OTVkYjRiY2Y4OWU1ODI4NmM0OThkNDczNzVmMjQifQ=="/>
  </w:docVars>
  <w:rsids>
    <w:rsidRoot w:val="25770572"/>
    <w:rsid w:val="00005178"/>
    <w:rsid w:val="00043D0C"/>
    <w:rsid w:val="00060E3B"/>
    <w:rsid w:val="001057B3"/>
    <w:rsid w:val="001C5ECE"/>
    <w:rsid w:val="00213857"/>
    <w:rsid w:val="0034222A"/>
    <w:rsid w:val="00351084"/>
    <w:rsid w:val="003B79E5"/>
    <w:rsid w:val="00407025"/>
    <w:rsid w:val="00514E1F"/>
    <w:rsid w:val="00544CB1"/>
    <w:rsid w:val="00557D12"/>
    <w:rsid w:val="0058315F"/>
    <w:rsid w:val="005A318A"/>
    <w:rsid w:val="006D3BC7"/>
    <w:rsid w:val="007A0210"/>
    <w:rsid w:val="008166E9"/>
    <w:rsid w:val="00851665"/>
    <w:rsid w:val="008E18B1"/>
    <w:rsid w:val="008F1EEF"/>
    <w:rsid w:val="009D484B"/>
    <w:rsid w:val="009F3FA9"/>
    <w:rsid w:val="00A15899"/>
    <w:rsid w:val="00A53834"/>
    <w:rsid w:val="00BF1ADF"/>
    <w:rsid w:val="00C16AC7"/>
    <w:rsid w:val="00C27858"/>
    <w:rsid w:val="00C76B77"/>
    <w:rsid w:val="00C91913"/>
    <w:rsid w:val="00CE1AEC"/>
    <w:rsid w:val="00D51B9F"/>
    <w:rsid w:val="00DA44CC"/>
    <w:rsid w:val="00E35462"/>
    <w:rsid w:val="00F10064"/>
    <w:rsid w:val="00FA281A"/>
    <w:rsid w:val="00FD3829"/>
    <w:rsid w:val="023529F7"/>
    <w:rsid w:val="0E6A3C26"/>
    <w:rsid w:val="21D05491"/>
    <w:rsid w:val="25770572"/>
    <w:rsid w:val="2BC33BF1"/>
    <w:rsid w:val="30A666E6"/>
    <w:rsid w:val="3CA76EDB"/>
    <w:rsid w:val="3F81034D"/>
    <w:rsid w:val="437E458C"/>
    <w:rsid w:val="4A192362"/>
    <w:rsid w:val="4DEC6A08"/>
    <w:rsid w:val="54F32B04"/>
    <w:rsid w:val="5A371744"/>
    <w:rsid w:val="5CCE4F92"/>
    <w:rsid w:val="66473E25"/>
    <w:rsid w:val="66AE7454"/>
    <w:rsid w:val="69737154"/>
    <w:rsid w:val="734E7E7C"/>
    <w:rsid w:val="74AD6919"/>
    <w:rsid w:val="774C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6970</Words>
  <Characters>7319</Characters>
  <Lines>55</Lines>
  <Paragraphs>15</Paragraphs>
  <TotalTime>4</TotalTime>
  <ScaleCrop>false</ScaleCrop>
  <LinksUpToDate>false</LinksUpToDate>
  <CharactersWithSpaces>7330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2020-03-04T08:09:00Z</dcterms:created>
  <dc:creator>Administrator</dc:creator>
  <cp:lastModifiedBy>瓶子</cp:lastModifiedBy>
  <dcterms:modified xsi:type="dcterms:W3CDTF">2023-04-06T03:39:08Z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2F4E57C4A0E94077B21F03780C56E752</vt:lpwstr>
  </property>
</Properties>
</file>