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t>曼彦水库建设工程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val="en-US" w:eastAsia="zh-CN"/>
        </w:rPr>
        <w:t>2月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spacing w:val="2"/>
          <w:sz w:val="32"/>
          <w:szCs w:val="32"/>
        </w:rPr>
      </w:pPr>
      <w:r>
        <w:rPr>
          <w:rFonts w:hint="eastAsia" w:eastAsia="方正仿宋_GBK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3，最大坝高61.0m，工程等别Ⅳ等，主要建筑物大坝、溢洪道、导流输水洞按4级建筑物设计，次要建筑物按5级设计。灌溉供水建筑物设计总流量Q=1.107m3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color w:val="auto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eastAsia="方正仿宋_GBK"/>
          <w:spacing w:val="2"/>
          <w:sz w:val="32"/>
          <w:szCs w:val="32"/>
        </w:rPr>
        <w:t>曼彦水库大坝奠基仪式于2017年12月29日举行。目前，已完成可研报告批复，完成导流输水隧洞专题报告的审查，已完成批复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</w:t>
      </w:r>
      <w:r>
        <w:rPr>
          <w:rFonts w:hint="eastAsia" w:eastAsia="方正仿宋_GBK"/>
          <w:spacing w:val="2"/>
          <w:sz w:val="32"/>
          <w:szCs w:val="32"/>
          <w:lang w:eastAsia="zh-CN"/>
        </w:rPr>
        <w:t>完成审查，等待批复</w:t>
      </w:r>
      <w:r>
        <w:rPr>
          <w:rFonts w:hint="eastAsia" w:eastAsia="方正仿宋_GBK"/>
          <w:spacing w:val="2"/>
          <w:sz w:val="32"/>
          <w:szCs w:val="32"/>
        </w:rPr>
        <w:t>；正在开展三通一平工作及其他前期工作；目前导流输水放空隧洞标、勘察设计标、监理标和质检标的招标工作已于12月11日全部完成。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C30B0"/>
    <w:rsid w:val="3A9C239B"/>
    <w:rsid w:val="471D32B7"/>
    <w:rsid w:val="6D8D7900"/>
    <w:rsid w:val="7EDC2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2020-03-02T08:18:32Z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