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曼彦水库建设项目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3月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spacing w:val="2"/>
          <w:sz w:val="32"/>
          <w:szCs w:val="32"/>
        </w:rPr>
      </w:pPr>
      <w:r>
        <w:rPr>
          <w:rFonts w:hint="eastAsia" w:eastAsia="方正仿宋_GBK"/>
          <w:spacing w:val="2"/>
          <w:sz w:val="32"/>
          <w:szCs w:val="32"/>
        </w:rPr>
        <w:t>曼彦水库位于勐海县打洛镇，坝址处于南览河下游左岸一级支流南庄河上，坝址距勐海县打洛镇4.0km，距勐海县城66km，距离景洪市117km。水库的主要任务为灌溉、农村人畜生活用水及集镇供水。水库工程规模为小（一）型，总库容为376.64万m</w:t>
      </w:r>
      <w:r>
        <w:rPr>
          <w:rFonts w:hint="eastAsia" w:eastAsia="方正仿宋_GBK"/>
          <w:spacing w:val="2"/>
          <w:position w:val="-4"/>
          <w:sz w:val="32"/>
          <w:szCs w:val="32"/>
        </w:rPr>
        <w:object>
          <v:shape id="_x0000_i1027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5" r:id="rId4">
            <o:LockedField>false</o:LockedField>
          </o:OLEObject>
        </w:object>
      </w:r>
      <w:r>
        <w:rPr>
          <w:rFonts w:hint="eastAsia" w:eastAsia="方正仿宋_GBK"/>
          <w:spacing w:val="2"/>
          <w:sz w:val="32"/>
          <w:szCs w:val="32"/>
        </w:rPr>
        <w:t>，最大坝高61.0m，工程等别Ⅳ等，主要建筑物大坝、溢洪道、导流输水洞按4级建筑物设计，次要建筑物按5级设计。灌溉供水建筑物设计总流量Q=1.107m</w:t>
      </w:r>
      <w:r>
        <w:rPr>
          <w:rFonts w:hint="eastAsia" w:eastAsia="方正仿宋_GBK"/>
          <w:spacing w:val="2"/>
          <w:position w:val="-4"/>
          <w:sz w:val="32"/>
          <w:szCs w:val="32"/>
        </w:rPr>
        <w:object>
          <v:shape id="_x0000_i1028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8" DrawAspect="Content" ObjectID="_1468075726" r:id="rId6">
            <o:LockedField>false</o:LockedField>
          </o:OLEObject>
        </w:object>
      </w:r>
      <w:r>
        <w:rPr>
          <w:rFonts w:hint="eastAsia" w:eastAsia="方正仿宋_GBK"/>
          <w:spacing w:val="2"/>
          <w:sz w:val="32"/>
          <w:szCs w:val="32"/>
        </w:rPr>
        <w:t>/s，按5级建筑物设计。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ascii="Times New Roman" w:hAnsi="Times New Roman" w:eastAsia="方正仿宋_GBK" w:cs="Times New Roman"/>
          <w:spacing w:val="2"/>
          <w:sz w:val="32"/>
          <w:szCs w:val="32"/>
          <w:highlight w:val="yellow"/>
          <w:lang w:eastAsia="zh-CN"/>
        </w:rPr>
      </w:pPr>
      <w:r>
        <w:rPr>
          <w:rFonts w:hint="eastAsia" w:eastAsia="方正仿宋_GBK"/>
          <w:color w:val="auto"/>
          <w:spacing w:val="2"/>
          <w:sz w:val="32"/>
          <w:szCs w:val="32"/>
        </w:rPr>
        <w:t>曼彦水库大坝奠基仪式于2017年12月29日举行。目前，已完成可研报告批复，完成导流输水隧洞专题报告的审查，已完成批复；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完成水资源论证的批复、淹没区、枢纽区以及道路的征地测量工作；项目环评报告、防洪影响评价报告和水保专题报告已完成批复；用地预审已取得预审意见，同步开展项目林业的相关专题报告的编制；建设征地与移民安置规划报告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完成审查，并于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3月5日得到批复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；正在开展三通一平工作及其他前期工作；目前导流输水隧洞标、勘察设计标、监理标和质检标的招标工作全部完成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2月25日举行了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开工仪式，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导流输水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隧洞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等临时工程已经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进场施工。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textAlignment w:val="auto"/>
        <w:outlineLvl w:val="9"/>
        <w:rPr>
          <w:rFonts w:hint="eastAsia" w:eastAsia="方正仿宋_GBK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00833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2020-04-07T03:39:20Z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