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微软雅黑" w:hAnsi="微软雅黑" w:eastAsia="微软雅黑" w:cs="微软雅黑"/>
          <w:color w:val="FF0000"/>
          <w:sz w:val="48"/>
          <w:szCs w:val="40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FF0000"/>
          <w:sz w:val="48"/>
          <w:szCs w:val="40"/>
          <w:highlight w:val="none"/>
          <w:lang w:eastAsia="zh-CN"/>
        </w:rPr>
        <w:t>勐往乡卫生院</w:t>
      </w:r>
    </w:p>
    <w:p>
      <w:pPr>
        <w:pStyle w:val="4"/>
        <w:jc w:val="center"/>
        <w:rPr>
          <w:rFonts w:hint="eastAsia" w:ascii="微软雅黑" w:hAnsi="微软雅黑" w:eastAsia="微软雅黑" w:cs="微软雅黑"/>
          <w:b/>
          <w:bCs w:val="0"/>
          <w:color w:val="FF0000"/>
          <w:sz w:val="72"/>
          <w:szCs w:val="52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72"/>
          <w:szCs w:val="52"/>
          <w:highlight w:val="none"/>
          <w:lang w:eastAsia="zh-CN"/>
        </w:rPr>
        <w:t>健康扶贫工作简报</w:t>
      </w:r>
    </w:p>
    <w:p>
      <w:pPr>
        <w:jc w:val="center"/>
        <w:rPr>
          <w:rFonts w:hint="eastAsia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highlight w:val="none"/>
          <w:lang w:val="en-US" w:eastAsia="zh-CN"/>
        </w:rPr>
        <w:t>201</w:t>
      </w:r>
      <w:r>
        <w:rPr>
          <w:rFonts w:hint="eastAsia" w:ascii="Times New Roman" w:hAnsi="Times New Roman" w:cs="Times New Roman"/>
          <w:b/>
          <w:bCs/>
          <w:color w:val="FF0000"/>
          <w:sz w:val="28"/>
          <w:szCs w:val="28"/>
          <w:highlight w:val="none"/>
          <w:lang w:val="en-US" w:eastAsia="zh-CN"/>
        </w:rPr>
        <w:t>9</w:t>
      </w:r>
      <w:r>
        <w:rPr>
          <w:rFonts w:hint="eastAsia"/>
          <w:b/>
          <w:bCs/>
          <w:color w:val="FF0000"/>
          <w:sz w:val="28"/>
          <w:szCs w:val="28"/>
          <w:highlight w:val="none"/>
          <w:lang w:val="en-US" w:eastAsia="zh-CN"/>
        </w:rPr>
        <w:t>年  第1期</w:t>
      </w:r>
    </w:p>
    <w:p>
      <w:pPr>
        <w:pBdr>
          <w:bottom w:val="double" w:color="auto" w:sz="4" w:space="0"/>
        </w:pBdr>
        <w:rPr>
          <w:rFonts w:hint="eastAsia"/>
          <w:color w:val="FF0000"/>
          <w:sz w:val="24"/>
          <w:szCs w:val="32"/>
          <w:highlight w:val="none"/>
          <w:lang w:val="en-US" w:eastAsia="zh-CN"/>
        </w:rPr>
      </w:pPr>
      <w:r>
        <w:rPr>
          <w:rFonts w:hint="eastAsia"/>
          <w:color w:val="FF0000"/>
          <w:sz w:val="24"/>
          <w:szCs w:val="32"/>
          <w:highlight w:val="none"/>
          <w:lang w:val="en-US" w:eastAsia="zh-CN"/>
        </w:rPr>
        <w:t xml:space="preserve">勐往乡卫生院  </w:t>
      </w:r>
    </w:p>
    <w:p>
      <w:pPr>
        <w:pBdr>
          <w:bottom w:val="double" w:color="auto" w:sz="4" w:space="0"/>
        </w:pBdr>
        <w:jc w:val="left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highlight w:val="none"/>
          <w:lang w:val="en-US" w:eastAsia="zh-CN"/>
        </w:rPr>
        <w:t xml:space="preserve">勐往乡妇幼保健计划生育服务站                              </w:t>
      </w:r>
      <w:r>
        <w:rPr>
          <w:rFonts w:hint="default" w:ascii="Times New Roman" w:hAnsi="Times New Roman" w:eastAsia="仿宋" w:cs="Times New Roman"/>
          <w:color w:val="FF0000"/>
          <w:sz w:val="24"/>
          <w:szCs w:val="32"/>
          <w:highlight w:val="none"/>
          <w:lang w:val="en-US" w:eastAsia="zh-CN"/>
        </w:rPr>
        <w:t>201</w:t>
      </w:r>
      <w:r>
        <w:rPr>
          <w:rFonts w:hint="eastAsia" w:ascii="Times New Roman" w:hAnsi="Times New Roman" w:eastAsia="仿宋" w:cs="Times New Roman"/>
          <w:color w:val="FF0000"/>
          <w:sz w:val="24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FF0000"/>
          <w:sz w:val="24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FF0000"/>
          <w:sz w:val="24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FF0000"/>
          <w:sz w:val="24"/>
          <w:szCs w:val="32"/>
          <w:highlight w:val="none"/>
          <w:lang w:val="en-US" w:eastAsia="zh-CN"/>
        </w:rPr>
        <w:t>月5日</w:t>
      </w:r>
    </w:p>
    <w:p>
      <w:pPr>
        <w:tabs>
          <w:tab w:val="left" w:pos="2560"/>
        </w:tabs>
        <w:jc w:val="left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ab/>
      </w:r>
    </w:p>
    <w:p>
      <w:pPr>
        <w:numPr>
          <w:ilvl w:val="0"/>
          <w:numId w:val="0"/>
        </w:numPr>
        <w:tabs>
          <w:tab w:val="left" w:pos="2560"/>
        </w:tabs>
        <w:ind w:leftChars="0" w:firstLine="880" w:firstLineChars="200"/>
        <w:jc w:val="left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精心部署，迎接国家脱贫攻坚成效考核</w:t>
      </w:r>
    </w:p>
    <w:p>
      <w:pPr>
        <w:numPr>
          <w:ilvl w:val="0"/>
          <w:numId w:val="0"/>
        </w:numPr>
        <w:tabs>
          <w:tab w:val="left" w:pos="2560"/>
        </w:tabs>
        <w:ind w:leftChars="0"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1月5日，勐往乡卫生院召开2018年国家脱贫攻坚成效考核健康扶贫迎检工作部署会议，参加会议的人员有家庭医生团队长、挂包帮扶责任人、科室组长等18人。</w:t>
      </w:r>
    </w:p>
    <w:p>
      <w:pPr>
        <w:numPr>
          <w:ilvl w:val="0"/>
          <w:numId w:val="0"/>
        </w:numPr>
        <w:tabs>
          <w:tab w:val="left" w:pos="2560"/>
        </w:tabs>
        <w:ind w:leftChars="0" w:firstLine="640" w:firstLineChars="200"/>
        <w:jc w:val="left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会上传达学习县卫计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2018年国家脱贫攻坚成效考核健康扶贫迎检工作部署会议精神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，并做如下工作要求：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第一，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提高站位，</w:t>
      </w:r>
      <w:r>
        <w:rPr>
          <w:rFonts w:hint="default" w:ascii="Times New Roman" w:hAnsi="Times New Roman" w:eastAsia="方正仿宋_GBK" w:cs="Times New Roman"/>
          <w:b/>
          <w:bCs/>
          <w:spacing w:val="-4"/>
          <w:kern w:val="0"/>
          <w:sz w:val="32"/>
          <w:szCs w:val="32"/>
        </w:rPr>
        <w:t>高度重视。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科室、村卫生室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务必高度重视，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把思想和行动迅速统一到国家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脱贫攻坚成效考核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要求上来，充分认识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脱贫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重要性；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“两不愁、三保障”是脱贫攻坚考核重点核查内容，确保各项工作有效落实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切实提高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脱贫攻坚和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健康扶贫考核成效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全力做好迎检工作。</w:t>
      </w:r>
      <w:r>
        <w:rPr>
          <w:rFonts w:hint="default" w:ascii="Times New Roman" w:hAnsi="Times New Roman" w:eastAsia="方正仿宋_GBK" w:cs="Times New Roman"/>
          <w:b/>
          <w:bCs w:val="0"/>
          <w:spacing w:val="-4"/>
          <w:kern w:val="0"/>
          <w:sz w:val="32"/>
          <w:szCs w:val="32"/>
          <w:lang w:eastAsia="zh-CN"/>
        </w:rPr>
        <w:t>第二，</w:t>
      </w:r>
      <w:r>
        <w:rPr>
          <w:rFonts w:hint="default" w:ascii="Times New Roman" w:hAnsi="Times New Roman" w:eastAsia="方正仿宋_GBK" w:cs="Times New Roman"/>
          <w:b/>
          <w:bCs w:val="0"/>
          <w:spacing w:val="-4"/>
          <w:kern w:val="0"/>
          <w:sz w:val="32"/>
          <w:szCs w:val="32"/>
        </w:rPr>
        <w:t>围绕重点，抓紧查缺补漏</w:t>
      </w:r>
      <w:r>
        <w:rPr>
          <w:rFonts w:hint="default" w:ascii="Times New Roman" w:hAnsi="Times New Roman" w:eastAsia="方正仿宋_GBK" w:cs="Times New Roman"/>
          <w:b/>
          <w:bCs w:val="0"/>
          <w:spacing w:val="-4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spacing w:val="-4"/>
          <w:kern w:val="0"/>
          <w:sz w:val="32"/>
          <w:szCs w:val="32"/>
        </w:rPr>
        <w:t>围绕</w:t>
      </w:r>
      <w:r>
        <w:rPr>
          <w:rFonts w:hint="default" w:ascii="Times New Roman" w:hAnsi="Times New Roman" w:eastAsia="方正仿宋_GBK" w:cs="Times New Roman"/>
          <w:bCs/>
          <w:spacing w:val="-4"/>
          <w:kern w:val="0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方正仿宋_GBK" w:cs="Times New Roman"/>
          <w:bCs/>
          <w:spacing w:val="-4"/>
          <w:kern w:val="0"/>
          <w:sz w:val="32"/>
          <w:szCs w:val="32"/>
        </w:rPr>
        <w:t>年度健康扶贫目标任务和考核要求，务必对以下重点</w:t>
      </w:r>
      <w:r>
        <w:rPr>
          <w:rFonts w:hint="default" w:ascii="Times New Roman" w:hAnsi="Times New Roman" w:eastAsia="方正仿宋_GBK" w:cs="Times New Roman"/>
          <w:bCs/>
          <w:spacing w:val="-4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bCs/>
          <w:spacing w:val="-4"/>
          <w:kern w:val="0"/>
          <w:sz w:val="32"/>
          <w:szCs w:val="32"/>
        </w:rPr>
        <w:t>查缺补漏</w:t>
      </w:r>
      <w:r>
        <w:rPr>
          <w:rFonts w:hint="default" w:ascii="Times New Roman" w:hAnsi="Times New Roman" w:eastAsia="方正仿宋_GBK" w:cs="Times New Roman"/>
          <w:bCs/>
          <w:spacing w:val="-4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卫生院、村卫生室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建设情况，村医配备、常用药配置情况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“先诊疗后付费”制度落实情况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“一站式”即时结算机制建设和落实情况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；三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29种大病集中救治情况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四是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家庭医生签约服务情况，高血压、糖尿病、结核病、严重精神障碍等慢性病规范管理情况。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五是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健康扶贫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数据比对、核实，准确录入基础信息数据情况。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六是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“三落实”情况，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涉及健康扶贫工作的责任落实、政策落实、工作落实情况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七是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挂包帮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减贫成效、精准识别和退出、精准帮扶、扶贫资金成效情况。</w:t>
      </w:r>
      <w:r>
        <w:rPr>
          <w:rFonts w:hint="default" w:ascii="Times New Roman" w:hAnsi="Times New Roman" w:eastAsia="方正仿宋_GBK" w:cs="Times New Roman"/>
          <w:bCs/>
          <w:spacing w:val="-4"/>
          <w:kern w:val="0"/>
          <w:sz w:val="32"/>
          <w:szCs w:val="32"/>
          <w:lang w:eastAsia="zh-CN"/>
        </w:rPr>
        <w:t>第三，考核方式：入户调查（</w:t>
      </w:r>
      <w:r>
        <w:rPr>
          <w:rFonts w:hint="default" w:ascii="Times New Roman" w:hAnsi="Times New Roman" w:eastAsia="方正仿宋_GBK" w:cs="Times New Roman"/>
          <w:bCs/>
          <w:spacing w:val="-4"/>
          <w:kern w:val="0"/>
          <w:sz w:val="32"/>
          <w:szCs w:val="32"/>
          <w:lang w:val="en-US" w:eastAsia="zh-CN"/>
        </w:rPr>
        <w:t>7:2:1抽样</w:t>
      </w:r>
      <w:r>
        <w:rPr>
          <w:rFonts w:hint="default" w:ascii="Times New Roman" w:hAnsi="Times New Roman" w:eastAsia="方正仿宋_GBK" w:cs="Times New Roman"/>
          <w:bCs/>
          <w:spacing w:val="-4"/>
          <w:kern w:val="0"/>
          <w:sz w:val="32"/>
          <w:szCs w:val="32"/>
          <w:lang w:eastAsia="zh-CN"/>
        </w:rPr>
        <w:t>）、实地核查、交流座谈，采取自下而上的方式进行，层层查核脱贫攻坚“三落实”存在的问题及产生的原因，逐级查证。</w:t>
      </w:r>
      <w:r>
        <w:rPr>
          <w:rFonts w:hint="default" w:ascii="Times New Roman" w:hAnsi="Times New Roman" w:eastAsia="方正仿宋_GBK" w:cs="Times New Roman"/>
          <w:spacing w:val="-4"/>
          <w:kern w:val="0"/>
          <w:sz w:val="32"/>
          <w:szCs w:val="32"/>
          <w:lang w:eastAsia="zh-CN"/>
        </w:rPr>
        <w:t>第四，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做好台账准备和举证准备工作。2018年度脱贫攻坚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成效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考核中发现的疑似问题，都要与地方进行沟通核实。整理好相关台账资料，同时认真排查风险点，做好解释说明和举证准备工作。</w:t>
      </w:r>
    </w:p>
    <w:p>
      <w:pPr>
        <w:numPr>
          <w:ilvl w:val="0"/>
          <w:numId w:val="0"/>
        </w:numPr>
        <w:tabs>
          <w:tab w:val="left" w:pos="2560"/>
        </w:tabs>
        <w:ind w:leftChars="0" w:firstLine="643" w:firstLineChars="200"/>
        <w:jc w:val="left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会议要求家庭医生团队开展履约服务和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村卫生室督导。</w:t>
      </w:r>
    </w:p>
    <w:p>
      <w:pPr>
        <w:numPr>
          <w:ilvl w:val="0"/>
          <w:numId w:val="0"/>
        </w:numPr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（一）入户内容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健康扶贫政策宣传（以手册为准）。2.家庭医生（家庭医生成员、负责人、家庭医生服务内容、是否续签、重要服务时间必须填写完整）。（以宣传提问方式教会建档立卡户）3.到县外就诊的必须先到县内县级医院就诊。4.重病大病的筛查（查缺补漏）。（如发现大病重病的收取相关材料并上报）5.近期住院病人，就诊情况，报销是否按照健康扶贫政策报销，是否收押金，及住院疾病名称。（如未按照政策执行的清核实并上报）6.成员必须牢记健康扶贫政策（健康扶贫30条）、重病户人数、户数及人员、人口信息等。</w:t>
      </w:r>
    </w:p>
    <w:p>
      <w:pPr>
        <w:pStyle w:val="2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（二）卫生室督导内容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每日打扫卫生保持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环境整洁，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不允许摆放非基药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医疗废弃物处理情况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村卫生室材料是否完善。（村医资格证书，学历证书复印装档案盒。）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门诊日志等检查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1月20日之前所有人员必须在岗，村医着装整齐，佩戴胸牌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村医配药一针一管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即用即销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保持水电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网络通畅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药品公示价格及目录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悬挂卫生室卫生许可证。</w:t>
      </w:r>
    </w:p>
    <w:p>
      <w:pPr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（三）深入开展户户清工作</w:t>
      </w:r>
    </w:p>
    <w:p>
      <w:pPr>
        <w:keepNext w:val="0"/>
        <w:keepLines w:val="0"/>
        <w:pageBreakBefore w:val="0"/>
        <w:widowControl w:val="0"/>
        <w:tabs>
          <w:tab w:val="left" w:pos="130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1月7日前，各挂包帮扶责任人再次入户，结合调查问卷再次宣传健康扶贫政策，清楚家庭成员大病、慢病、地方病、传染病患病情况和报销情况、家庭医生签约服务情况。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F1F98"/>
    <w:rsid w:val="058C4B08"/>
    <w:rsid w:val="0A716A02"/>
    <w:rsid w:val="151F1F98"/>
    <w:rsid w:val="1699202B"/>
    <w:rsid w:val="17994BE5"/>
    <w:rsid w:val="183E5170"/>
    <w:rsid w:val="1B7A226E"/>
    <w:rsid w:val="1C292C42"/>
    <w:rsid w:val="1C7A046A"/>
    <w:rsid w:val="1D1079A5"/>
    <w:rsid w:val="1DBE1541"/>
    <w:rsid w:val="27C85B25"/>
    <w:rsid w:val="2A593BF6"/>
    <w:rsid w:val="2C226050"/>
    <w:rsid w:val="3150356C"/>
    <w:rsid w:val="39BF5FF9"/>
    <w:rsid w:val="41051D3C"/>
    <w:rsid w:val="4DC35918"/>
    <w:rsid w:val="52533CE8"/>
    <w:rsid w:val="52AF5C11"/>
    <w:rsid w:val="56217FDD"/>
    <w:rsid w:val="60847A3E"/>
    <w:rsid w:val="63515794"/>
    <w:rsid w:val="6D535020"/>
    <w:rsid w:val="73007C1B"/>
    <w:rsid w:val="74477D3B"/>
    <w:rsid w:val="7CA84DEB"/>
    <w:rsid w:val="7F8466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2018-08-21T02:07:00Z</dcterms:created>
  <dc:creator>WPS</dc:creator>
  <cp:lastModifiedBy>玉喃罕</cp:lastModifiedBy>
  <cp:lastPrinted>2018-08-21T08:51:00Z</cp:lastPrinted>
  <dcterms:modified xsi:type="dcterms:W3CDTF">2019-01-07T11:13:27Z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