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1" w:firstLineChars="50"/>
        <w:jc w:val="center"/>
        <w:rPr>
          <w:rFonts w:ascii="方正小标宋简体" w:hAnsi="Wingdings 2" w:eastAsia="方正小标宋简体"/>
          <w:b/>
          <w:color w:val="FF0000"/>
          <w:sz w:val="200"/>
          <w:szCs w:val="200"/>
        </w:rPr>
      </w:pPr>
      <w:r>
        <w:rPr>
          <w:rFonts w:hint="eastAsia" w:ascii="方正小标宋简体" w:hAnsi="Wingdings 2" w:eastAsia="方正小标宋简体"/>
          <w:b/>
          <w:color w:val="FF0000"/>
          <w:sz w:val="48"/>
          <w:szCs w:val="48"/>
          <w:lang w:eastAsia="zh-CN"/>
        </w:rPr>
        <w:t>勐海县勐宋乡卫生院</w:t>
      </w:r>
      <w:r>
        <w:rPr>
          <w:rFonts w:hint="eastAsia" w:ascii="方正小标宋简体" w:hAnsi="Wingdings 2" w:eastAsia="方正小标宋简体"/>
          <w:b/>
          <w:color w:val="FF0000"/>
          <w:sz w:val="48"/>
          <w:szCs w:val="48"/>
        </w:rPr>
        <w:t>简报</w:t>
      </w:r>
    </w:p>
    <w:p>
      <w:pPr>
        <w:jc w:val="center"/>
        <w:rPr>
          <w:rFonts w:hint="eastAsia" w:ascii="宋体" w:hAnsi="宋体"/>
          <w:b/>
          <w:color w:val="FF0000"/>
          <w:sz w:val="32"/>
          <w:szCs w:val="32"/>
        </w:rPr>
      </w:pPr>
      <w:r>
        <w:rPr>
          <w:rFonts w:hint="eastAsia" w:ascii="宋体" w:hAnsi="宋体"/>
          <w:b/>
          <w:color w:val="FF0000"/>
          <w:sz w:val="32"/>
          <w:szCs w:val="32"/>
        </w:rPr>
        <w:t>第</w:t>
      </w:r>
      <w:r>
        <w:rPr>
          <w:rFonts w:hint="eastAsia" w:ascii="宋体" w:hAnsi="宋体"/>
          <w:b/>
          <w:color w:val="FF0000"/>
          <w:sz w:val="32"/>
          <w:szCs w:val="32"/>
          <w:lang w:eastAsia="zh-CN"/>
        </w:rPr>
        <w:t>二</w:t>
      </w:r>
      <w:r>
        <w:rPr>
          <w:rFonts w:hint="eastAsia" w:ascii="宋体" w:hAnsi="宋体"/>
          <w:b/>
          <w:color w:val="FF0000"/>
          <w:sz w:val="32"/>
          <w:szCs w:val="32"/>
        </w:rPr>
        <w:t>期</w:t>
      </w:r>
    </w:p>
    <w:p>
      <w:pPr>
        <w:jc w:val="center"/>
        <w:rPr>
          <w:rFonts w:hint="eastAsia" w:ascii="宋体" w:hAnsi="宋体"/>
          <w:b/>
          <w:color w:val="FF0000"/>
          <w:sz w:val="32"/>
          <w:szCs w:val="32"/>
          <w:u w:val="single"/>
        </w:rPr>
      </w:pPr>
      <w:r>
        <w:rPr>
          <w:rFonts w:hint="eastAsia" w:ascii="宋体" w:hAnsi="宋体"/>
          <w:b/>
          <w:color w:val="FF0000"/>
          <w:sz w:val="32"/>
          <w:szCs w:val="32"/>
          <w:u w:val="single"/>
          <w:lang w:eastAsia="zh-CN"/>
        </w:rPr>
        <w:t>办公室</w:t>
      </w:r>
      <w:r>
        <w:rPr>
          <w:rFonts w:hint="eastAsia" w:ascii="宋体" w:hAnsi="宋体"/>
          <w:b/>
          <w:color w:val="FF0000"/>
          <w:sz w:val="32"/>
          <w:szCs w:val="32"/>
          <w:u w:val="single"/>
        </w:rPr>
        <w:t xml:space="preserve">       </w:t>
      </w:r>
      <w:r>
        <w:rPr>
          <w:rFonts w:hint="eastAsia" w:ascii="宋体" w:hAnsi="宋体"/>
          <w:b/>
          <w:color w:val="FF0000"/>
          <w:sz w:val="32"/>
          <w:szCs w:val="32"/>
          <w:u w:val="single"/>
          <w:lang w:val="en-US" w:eastAsia="zh-CN"/>
        </w:rPr>
        <w:t xml:space="preserve">        </w:t>
      </w:r>
      <w:r>
        <w:rPr>
          <w:rFonts w:hint="eastAsia" w:ascii="宋体" w:hAnsi="宋体"/>
          <w:b/>
          <w:color w:val="FF0000"/>
          <w:sz w:val="32"/>
          <w:szCs w:val="32"/>
          <w:u w:val="single"/>
        </w:rPr>
        <w:t xml:space="preserve">           </w:t>
      </w:r>
      <w:r>
        <w:rPr>
          <w:rFonts w:hint="eastAsia" w:ascii="宋体" w:hAnsi="宋体"/>
          <w:b/>
          <w:color w:val="FF0000"/>
          <w:sz w:val="32"/>
          <w:szCs w:val="32"/>
          <w:u w:val="single"/>
          <w:lang w:eastAsia="zh-CN"/>
        </w:rPr>
        <w:t>201</w:t>
      </w:r>
      <w:r>
        <w:rPr>
          <w:rFonts w:hint="eastAsia" w:ascii="宋体" w:hAnsi="宋体"/>
          <w:b/>
          <w:color w:val="FF0000"/>
          <w:sz w:val="32"/>
          <w:szCs w:val="32"/>
          <w:u w:val="single"/>
          <w:lang w:val="en-US" w:eastAsia="zh-CN"/>
        </w:rPr>
        <w:t>9</w:t>
      </w:r>
      <w:r>
        <w:rPr>
          <w:rFonts w:hint="eastAsia" w:ascii="宋体" w:hAnsi="宋体"/>
          <w:b/>
          <w:color w:val="FF0000"/>
          <w:sz w:val="32"/>
          <w:szCs w:val="32"/>
          <w:u w:val="single"/>
        </w:rPr>
        <w:t>年</w:t>
      </w:r>
      <w:r>
        <w:rPr>
          <w:rFonts w:hint="eastAsia" w:ascii="宋体" w:hAnsi="宋体"/>
          <w:b/>
          <w:color w:val="FF0000"/>
          <w:sz w:val="32"/>
          <w:szCs w:val="32"/>
          <w:u w:val="single"/>
          <w:lang w:val="en-US" w:eastAsia="zh-CN"/>
        </w:rPr>
        <w:t>3</w:t>
      </w:r>
      <w:r>
        <w:rPr>
          <w:rFonts w:hint="eastAsia" w:ascii="宋体" w:hAnsi="宋体"/>
          <w:b/>
          <w:color w:val="FF0000"/>
          <w:sz w:val="32"/>
          <w:szCs w:val="32"/>
          <w:u w:val="single"/>
        </w:rPr>
        <w:t>月</w:t>
      </w:r>
      <w:r>
        <w:rPr>
          <w:rFonts w:hint="eastAsia" w:ascii="宋体" w:hAnsi="宋体"/>
          <w:b/>
          <w:color w:val="FF0000"/>
          <w:sz w:val="32"/>
          <w:szCs w:val="32"/>
          <w:u w:val="single"/>
          <w:lang w:val="en-US" w:eastAsia="zh-CN"/>
        </w:rPr>
        <w:t>6</w:t>
      </w:r>
      <w:r>
        <w:rPr>
          <w:rFonts w:hint="eastAsia" w:ascii="宋体" w:hAnsi="宋体"/>
          <w:b/>
          <w:color w:val="FF0000"/>
          <w:sz w:val="32"/>
          <w:szCs w:val="32"/>
          <w:u w:val="single"/>
        </w:rPr>
        <w:t>日</w:t>
      </w:r>
    </w:p>
    <w:p>
      <w:pPr>
        <w:jc w:val="center"/>
        <w:rPr>
          <w:rFonts w:hint="eastAsia" w:ascii="宋体" w:hAnsi="宋体" w:eastAsiaTheme="minorEastAsia"/>
          <w:b w:val="0"/>
          <w:bCs/>
          <w:color w:val="000000" w:themeColor="text1"/>
          <w:sz w:val="32"/>
          <w:szCs w:val="32"/>
          <w:u w:val="none"/>
          <w:lang w:eastAsia="zh-CN"/>
          <w14:textFill>
            <w14:solidFill>
              <w14:schemeClr w14:val="tx1"/>
            </w14:solidFill>
          </w14:textFill>
        </w:rPr>
      </w:pPr>
      <w:r>
        <w:rPr>
          <w:rFonts w:hint="eastAsia" w:ascii="宋体" w:hAnsi="宋体"/>
          <w:b w:val="0"/>
          <w:bCs/>
          <w:color w:val="000000" w:themeColor="text1"/>
          <w:sz w:val="32"/>
          <w:szCs w:val="32"/>
          <w:u w:val="none"/>
          <w:lang w:eastAsia="zh-CN"/>
          <w14:textFill>
            <w14:solidFill>
              <w14:schemeClr w14:val="tx1"/>
            </w14:solidFill>
          </w14:textFill>
        </w:rPr>
        <w:t>学习宣传习近平总书记关于加强和改进人民信访工作的重要思想</w:t>
      </w:r>
    </w:p>
    <w:p>
      <w:pPr>
        <w:ind w:firstLine="640" w:firstLineChars="200"/>
        <w:jc w:val="lef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习近平总书记关于加强和改进人民信访工作的重要思想，是习近平新时代中国特色社会主义思想在信访工作领域的重大理论成果，是我们统一思想、明确前进方向、凝聚改革力量，更好的推动新时代新时代信访工作开创新局面的强</w:t>
      </w:r>
    </w:p>
    <w:p>
      <w:pPr>
        <w:jc w:val="left"/>
        <w:rPr>
          <w:rFonts w:hint="eastAsia" w:ascii="方正仿宋_GBK" w:hAnsi="方正仿宋_GBK" w:eastAsia="方正仿宋_GBK" w:cs="方正仿宋_GBK"/>
          <w:sz w:val="32"/>
          <w:szCs w:val="32"/>
          <w:lang w:eastAsia="zh-CN"/>
        </w:rPr>
      </w:pPr>
      <w:r>
        <w:rPr>
          <w:rFonts w:hint="eastAsia" w:eastAsiaTheme="minorEastAsia"/>
          <w:lang w:eastAsia="zh-CN"/>
        </w:rPr>
        <w:drawing>
          <wp:inline distT="0" distB="0" distL="114300" distR="114300">
            <wp:extent cx="5240655" cy="3930650"/>
            <wp:effectExtent l="0" t="0" r="17145" b="12700"/>
            <wp:docPr id="2" name="图片 2" descr="ab751fc78c555ff82d0764b9f62ab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b751fc78c555ff82d0764b9f62ab43"/>
                    <pic:cNvPicPr>
                      <a:picLocks noChangeAspect="1"/>
                    </pic:cNvPicPr>
                  </pic:nvPicPr>
                  <pic:blipFill>
                    <a:blip r:embed="rId4"/>
                    <a:stretch>
                      <a:fillRect/>
                    </a:stretch>
                  </pic:blipFill>
                  <pic:spPr>
                    <a:xfrm>
                      <a:off x="0" y="0"/>
                      <a:ext cx="5240655" cy="3930650"/>
                    </a:xfrm>
                    <a:prstGeom prst="rect">
                      <a:avLst/>
                    </a:prstGeom>
                  </pic:spPr>
                </pic:pic>
              </a:graphicData>
            </a:graphic>
          </wp:inline>
        </w:drawing>
      </w:r>
    </w:p>
    <w:p>
      <w:pPr>
        <w:jc w:val="lef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大思想武器，为进一步学懂弄通做实这一重要思想，筑牢做好信访工作的根基，根据《云南省信访局转发</w:t>
      </w:r>
      <w:r>
        <w:rPr>
          <w:rFonts w:hint="eastAsia" w:ascii="方正仿宋_GBK" w:hAnsi="方正仿宋_GBK" w:eastAsia="方正仿宋_GBK" w:cs="方正仿宋_GBK"/>
          <w:sz w:val="32"/>
          <w:szCs w:val="32"/>
          <w:lang w:val="en-US" w:eastAsia="zh-CN"/>
        </w:rPr>
        <w:t>&lt;国家信访局关于学习宣传习近平总书记关于加强和改进人民信访工作的重要思想的通知&gt;</w:t>
      </w:r>
      <w:r>
        <w:rPr>
          <w:rFonts w:hint="eastAsia" w:ascii="方正仿宋_GBK" w:hAnsi="方正仿宋_GBK" w:eastAsia="方正仿宋_GBK" w:cs="方正仿宋_GBK"/>
          <w:sz w:val="32"/>
          <w:szCs w:val="32"/>
          <w:lang w:eastAsia="zh-CN"/>
        </w:rPr>
        <w:t>》（云信发</w:t>
      </w:r>
      <w:r>
        <w:rPr>
          <w:rFonts w:hint="eastAsia" w:ascii="方正仿宋_GBK" w:hAnsi="方正仿宋_GBK" w:eastAsia="方正仿宋_GBK" w:cs="方正仿宋_GBK"/>
          <w:sz w:val="32"/>
          <w:szCs w:val="32"/>
          <w:lang w:val="en-US" w:eastAsia="zh-CN"/>
        </w:rPr>
        <w:t>[2019]4号</w:t>
      </w:r>
      <w:r>
        <w:rPr>
          <w:rFonts w:hint="eastAsia" w:ascii="方正仿宋_GBK" w:hAnsi="方正仿宋_GBK" w:eastAsia="方正仿宋_GBK" w:cs="方正仿宋_GBK"/>
          <w:sz w:val="32"/>
          <w:szCs w:val="32"/>
          <w:lang w:eastAsia="zh-CN"/>
        </w:rPr>
        <w:t>）文件要求，我院于</w:t>
      </w:r>
      <w:r>
        <w:rPr>
          <w:rFonts w:hint="eastAsia" w:ascii="方正仿宋_GBK" w:hAnsi="方正仿宋_GBK" w:eastAsia="方正仿宋_GBK" w:cs="方正仿宋_GBK"/>
          <w:sz w:val="32"/>
          <w:szCs w:val="32"/>
          <w:lang w:val="en-US" w:eastAsia="zh-CN"/>
        </w:rPr>
        <w:t>2019年3月5日召开职工大会，组织全院职工宣传学习这一重要思想，共有43名职工参加了此次学习。</w:t>
      </w:r>
    </w:p>
    <w:p>
      <w:pPr>
        <w:jc w:val="left"/>
        <w:rPr>
          <w:rFonts w:hint="eastAsia" w:ascii="方正仿宋_GBK" w:hAnsi="方正仿宋_GBK" w:eastAsia="方正仿宋_GBK" w:cs="方正仿宋_GBK"/>
          <w:sz w:val="32"/>
          <w:szCs w:val="32"/>
          <w:lang w:val="en-US" w:eastAsia="zh-CN"/>
        </w:rPr>
      </w:pPr>
      <w:r>
        <w:rPr>
          <w:rFonts w:hint="eastAsia" w:eastAsiaTheme="minorEastAsia"/>
          <w:lang w:eastAsia="zh-CN"/>
        </w:rPr>
        <w:drawing>
          <wp:inline distT="0" distB="0" distL="114300" distR="114300">
            <wp:extent cx="5240655" cy="3930650"/>
            <wp:effectExtent l="0" t="0" r="17145" b="12700"/>
            <wp:docPr id="5" name="图片 5" descr="2bb10503bd74fcbf5f1b8e8e8110f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bb10503bd74fcbf5f1b8e8e8110f65"/>
                    <pic:cNvPicPr>
                      <a:picLocks noChangeAspect="1"/>
                    </pic:cNvPicPr>
                  </pic:nvPicPr>
                  <pic:blipFill>
                    <a:blip r:embed="rId5"/>
                    <a:stretch>
                      <a:fillRect/>
                    </a:stretch>
                  </pic:blipFill>
                  <pic:spPr>
                    <a:xfrm>
                      <a:off x="0" y="0"/>
                      <a:ext cx="5240655" cy="3930650"/>
                    </a:xfrm>
                    <a:prstGeom prst="rect">
                      <a:avLst/>
                    </a:prstGeom>
                  </pic:spPr>
                </pic:pic>
              </a:graphicData>
            </a:graphic>
          </wp:inline>
        </w:drawing>
      </w:r>
    </w:p>
    <w:p>
      <w:pPr>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岩恩帅院长通过解读文件，着重强调信访工作与医疗机构工作者的紧密联系，近年来医闹事件频发，为了保护我们医护人员自身，医护工作需要学习宣传相关法律知识，用思想知识武装头脑，指导实践，推进医疗工作，积极与患者及家属沟通交流，解决好患者的群众的感情问题，尽量避免医闹事件的发生。同时，利用好下乡进村入户机会，积极主动向群众宣讲信访工作的重要内容，推动宣传活动持续拓展、不断深化。</w:t>
      </w:r>
    </w:p>
    <w:p>
      <w:pPr>
        <w:jc w:val="left"/>
        <w:rPr>
          <w:rFonts w:hint="eastAsia" w:eastAsiaTheme="minorEastAsia"/>
          <w:lang w:eastAsia="zh-CN"/>
        </w:rPr>
      </w:pPr>
      <w:r>
        <w:rPr>
          <w:rFonts w:hint="eastAsia" w:eastAsiaTheme="minorEastAsia"/>
          <w:lang w:eastAsia="zh-CN"/>
        </w:rPr>
        <w:drawing>
          <wp:inline distT="0" distB="0" distL="114300" distR="114300">
            <wp:extent cx="5240655" cy="3711575"/>
            <wp:effectExtent l="0" t="0" r="17145" b="3175"/>
            <wp:docPr id="6" name="图片 6" descr="5bb20e327117c83db3789192045ae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bb20e327117c83db3789192045ae82"/>
                    <pic:cNvPicPr>
                      <a:picLocks noChangeAspect="1"/>
                    </pic:cNvPicPr>
                  </pic:nvPicPr>
                  <pic:blipFill>
                    <a:blip r:embed="rId6"/>
                    <a:srcRect t="14055"/>
                    <a:stretch>
                      <a:fillRect/>
                    </a:stretch>
                  </pic:blipFill>
                  <pic:spPr>
                    <a:xfrm>
                      <a:off x="0" y="0"/>
                      <a:ext cx="5240655" cy="3711575"/>
                    </a:xfrm>
                    <a:prstGeom prst="rect">
                      <a:avLst/>
                    </a:prstGeom>
                  </pic:spPr>
                </pic:pic>
              </a:graphicData>
            </a:graphic>
          </wp:inline>
        </w:drawing>
      </w:r>
    </w:p>
    <w:p>
      <w:pPr>
        <w:jc w:val="left"/>
        <w:rPr>
          <w:rFonts w:hint="eastAsia"/>
          <w:lang w:val="en-US" w:eastAsia="zh-CN"/>
        </w:rPr>
      </w:pPr>
      <w:r>
        <w:rPr>
          <w:rFonts w:hint="eastAsia"/>
          <w:lang w:val="en-US" w:eastAsia="zh-CN"/>
        </w:rPr>
        <w:t xml:space="preserve">   </w:t>
      </w:r>
    </w:p>
    <w:p>
      <w:pPr>
        <w:jc w:val="left"/>
        <w:rPr>
          <w:rFonts w:hint="eastAsia"/>
          <w:lang w:val="en-US" w:eastAsia="zh-CN"/>
        </w:rPr>
      </w:pPr>
    </w:p>
    <w:p>
      <w:pPr>
        <w:jc w:val="left"/>
        <w:rPr>
          <w:rFonts w:hint="eastAsia"/>
          <w:lang w:val="en-US" w:eastAsia="zh-CN"/>
        </w:rPr>
      </w:pPr>
    </w:p>
    <w:p>
      <w:pPr>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图文提供：刀兆玲</w:t>
      </w:r>
    </w:p>
    <w:p>
      <w:pPr>
        <w:jc w:val="left"/>
        <w:rPr>
          <w:rFonts w:hint="eastAsia" w:ascii="方正仿宋_GBK" w:hAnsi="方正仿宋_GBK" w:eastAsia="方正仿宋_GBK" w:cs="方正仿宋_GBK"/>
          <w:sz w:val="32"/>
          <w:szCs w:val="32"/>
          <w:lang w:val="en-US" w:eastAsia="zh-CN"/>
        </w:rPr>
      </w:pPr>
    </w:p>
    <w:p>
      <w:pPr>
        <w:jc w:val="left"/>
        <w:rPr>
          <w:rFonts w:hint="eastAsia" w:ascii="方正仿宋_GBK" w:hAnsi="方正仿宋_GBK" w:eastAsia="方正仿宋_GBK" w:cs="方正仿宋_GBK"/>
          <w:sz w:val="32"/>
          <w:szCs w:val="32"/>
          <w:lang w:val="en-US" w:eastAsia="zh-CN"/>
        </w:rPr>
      </w:pPr>
    </w:p>
    <w:p>
      <w:pPr>
        <w:jc w:val="left"/>
        <w:rPr>
          <w:rFonts w:hint="eastAsia" w:ascii="方正仿宋_GBK" w:hAnsi="方正仿宋_GBK" w:eastAsia="方正仿宋_GBK" w:cs="方正仿宋_GBK"/>
          <w:sz w:val="32"/>
          <w:szCs w:val="32"/>
          <w:lang w:val="en-US" w:eastAsia="zh-CN"/>
        </w:rPr>
      </w:pPr>
    </w:p>
    <w:p>
      <w:pPr>
        <w:jc w:val="lef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42E75"/>
    <w:rsid w:val="51C42E75"/>
    <w:rsid w:val="5F2710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2019-02-27T00:54:00Z</dcterms:created>
  <dc:creator>刀兆玲</dc:creator>
  <cp:lastModifiedBy>刀兆玲</cp:lastModifiedBy>
  <dcterms:modified xsi:type="dcterms:W3CDTF">2019-03-06T03:51:33Z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