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8421" w:type="dxa"/>
            <w:vAlign w:val="top"/>
          </w:tcPr>
          <w:p>
            <w:pPr>
              <w:spacing w:line="900" w:lineRule="exact"/>
              <w:jc w:val="distribute"/>
              <w:rPr>
                <w:rFonts w:hint="eastAsia" w:ascii="宋体" w:hAnsi="宋体" w:eastAsia="方正小标宋_GBK"/>
                <w:b/>
                <w:color w:val="FF0000"/>
                <w:w w:val="90"/>
                <w:sz w:val="80"/>
                <w:szCs w:val="80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方正小标宋_GBK"/>
                <w:b/>
                <w:color w:val="FF0000"/>
                <w:w w:val="90"/>
                <w:sz w:val="80"/>
                <w:szCs w:val="80"/>
              </w:rPr>
              <w:t>勐海县</w:t>
            </w:r>
            <w:r>
              <w:rPr>
                <w:rFonts w:hint="eastAsia" w:ascii="宋体" w:hAnsi="宋体" w:eastAsia="方正小标宋_GBK"/>
                <w:b/>
                <w:color w:val="FF0000"/>
                <w:w w:val="90"/>
                <w:sz w:val="80"/>
                <w:szCs w:val="80"/>
                <w:lang w:eastAsia="zh-CN"/>
              </w:rPr>
              <w:t>打洛镇中心卫生院</w:t>
            </w: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宋体" w:hAnsi="宋体" w:eastAsia="方正小标宋简体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 w:eastAsia="方正小标宋简体"/>
          <w:sz w:val="44"/>
          <w:szCs w:val="44"/>
        </w:rPr>
      </w:pPr>
    </w:p>
    <w:p>
      <w:pPr>
        <w:spacing w:line="900" w:lineRule="exact"/>
        <w:jc w:val="center"/>
        <w:rPr>
          <w:rFonts w:hint="eastAsia" w:ascii="宋体" w:hAnsi="宋体" w:eastAsia="方正小标宋_GBK"/>
          <w:b/>
          <w:color w:val="FF0000"/>
          <w:spacing w:val="-32"/>
          <w:sz w:val="84"/>
          <w:szCs w:val="84"/>
        </w:rPr>
      </w:pPr>
      <w:r>
        <w:rPr>
          <w:rFonts w:hint="eastAsia" w:ascii="宋体" w:hAnsi="宋体" w:eastAsia="方正小标宋_GBK"/>
          <w:b/>
          <w:color w:val="FF0000"/>
          <w:spacing w:val="-32"/>
          <w:sz w:val="84"/>
          <w:szCs w:val="84"/>
        </w:rPr>
        <w:t>工 作 简 报</w:t>
      </w:r>
    </w:p>
    <w:p>
      <w:pPr>
        <w:autoSpaceDE w:val="0"/>
        <w:spacing w:line="600" w:lineRule="exact"/>
        <w:jc w:val="both"/>
        <w:rPr>
          <w:rFonts w:ascii="方正仿宋_GBK" w:hAnsi="宋体" w:eastAsia="方正仿宋_GBK"/>
          <w:color w:val="000000"/>
          <w:spacing w:val="-40"/>
          <w:sz w:val="44"/>
          <w:szCs w:val="44"/>
        </w:rPr>
      </w:pPr>
    </w:p>
    <w:p>
      <w:pPr>
        <w:spacing w:line="440" w:lineRule="exact"/>
        <w:jc w:val="center"/>
        <w:rPr>
          <w:rFonts w:hint="eastAsia" w:ascii="宋体" w:hAnsi="宋体" w:eastAsia="方正楷体_GBK"/>
          <w:sz w:val="32"/>
          <w:szCs w:val="32"/>
        </w:rPr>
      </w:pPr>
      <w:r>
        <w:rPr>
          <w:rFonts w:hint="eastAsia" w:ascii="宋体" w:hAnsi="宋体" w:eastAsia="方正楷体_GBK"/>
          <w:sz w:val="32"/>
          <w:szCs w:val="32"/>
        </w:rPr>
        <w:t>第</w:t>
      </w:r>
      <w:r>
        <w:rPr>
          <w:rFonts w:hint="eastAsia" w:ascii="宋体" w:hAnsi="宋体" w:eastAsia="方正楷体_GBK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方正楷体_GBK"/>
          <w:sz w:val="32"/>
          <w:szCs w:val="32"/>
        </w:rPr>
        <w:t>期</w:t>
      </w:r>
    </w:p>
    <w:p>
      <w:pPr>
        <w:spacing w:line="440" w:lineRule="exact"/>
        <w:jc w:val="center"/>
        <w:rPr>
          <w:rFonts w:hint="eastAsia" w:ascii="宋体" w:hAnsi="宋体" w:eastAsia="方正楷体_GBK"/>
          <w:sz w:val="32"/>
          <w:szCs w:val="32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400050</wp:posOffset>
                </wp:positionV>
                <wp:extent cx="5661660" cy="444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1660" cy="444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8pt;margin-top:31.5pt;height:0.35pt;width:445.8pt;z-index:251662336;mso-width-relative:page;mso-height-relative:page;" filled="f" stroked="t" coordsize="21600,21600" o:gfxdata="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vQSuvXAAAABwEA&#10;AA8AAAAAAAAAAQAgAAAAIgAAAGRycy9kb3ducmV2LnhtbFBLAQIUABQAAAAIAIdO4kCx79O94gEA&#10;AKgDAAAOAAAAAAAAAAEAIAAAACYBAABkcnMvZTJvRG9jLnhtbFBLBQYAAAAABgAGAFkBAAB6BQAA&#10;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方正楷体_GBK"/>
          <w:sz w:val="32"/>
          <w:szCs w:val="32"/>
        </w:rPr>
        <w:t>勐海县</w:t>
      </w:r>
      <w:r>
        <w:rPr>
          <w:rFonts w:hint="eastAsia" w:ascii="宋体" w:hAnsi="宋体" w:eastAsia="方正楷体_GBK"/>
          <w:sz w:val="32"/>
          <w:szCs w:val="32"/>
          <w:lang w:eastAsia="zh-CN"/>
        </w:rPr>
        <w:t>打洛镇中心卫生院公卫</w:t>
      </w:r>
      <w:r>
        <w:rPr>
          <w:rFonts w:hint="eastAsia" w:ascii="宋体" w:hAnsi="宋体" w:eastAsia="方正楷体_GBK"/>
          <w:sz w:val="32"/>
          <w:szCs w:val="32"/>
        </w:rPr>
        <w:t>办公室</w:t>
      </w:r>
      <w:r>
        <w:rPr>
          <w:rFonts w:ascii="方正仿宋_GBK" w:hAnsi="宋体" w:eastAsia="方正仿宋_GBK"/>
          <w:color w:val="000000"/>
          <w:sz w:val="32"/>
          <w:szCs w:val="32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201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val="en-US" w:eastAsia="zh-CN"/>
        </w:rPr>
        <w:t>9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年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val="en-US" w:eastAsia="zh-CN"/>
        </w:rPr>
        <w:t>4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月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val="en-US" w:eastAsia="zh-CN"/>
        </w:rPr>
        <w:t>26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13" w:rightChars="-149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打洛镇开展全国疟疾日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“消除疟疾，谨防境外输入再传播”主题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宣传活动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13" w:rightChars="-149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976630</wp:posOffset>
            </wp:positionV>
            <wp:extent cx="2705735" cy="2373630"/>
            <wp:effectExtent l="0" t="0" r="18415" b="7620"/>
            <wp:wrapSquare wrapText="bothSides"/>
            <wp:docPr id="1" name="图片 1" descr="18e93cb2f510d93b9d6d78264beb4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8e93cb2f510d93b9d6d78264beb43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5735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2019年4月26日是第12个“全国疟疾日”。为落实奋力推进健康中国建设总体要求，实现2020年消除疟疾目标，进一步提高社会和公众的疟疾防控意识，普及疟疾防治知识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2019年4月25日，勐海县疾控中心、打洛镇中心卫生院、打洛海关联合在打洛口岸处开展了主题为“消除疟疾，谨防境外输入再传播”的全国疟疾日宣传活动，对出入境人员进行了消疟宣传，充分</w:t>
      </w:r>
      <w:r>
        <w:rPr>
          <w:rFonts w:hint="eastAsia" w:ascii="仿宋_GB2312" w:hAnsi="仿宋_GB2312" w:eastAsia="仿宋_GB2312" w:cs="仿宋_GB2312"/>
          <w:sz w:val="32"/>
          <w:szCs w:val="32"/>
        </w:rPr>
        <w:t>发挥好联防联控工作机制的作用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，打洛镇地处口岸边境，人员流动频繁，输入风险高，有效防控境外疟疾输入再传播是当前消除疟疾的重点。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2001520</wp:posOffset>
            </wp:positionV>
            <wp:extent cx="2875280" cy="2130425"/>
            <wp:effectExtent l="0" t="0" r="1270" b="60325"/>
            <wp:wrapTight wrapText="bothSides">
              <wp:wrapPolygon>
                <wp:start x="0" y="0"/>
                <wp:lineTo x="0" y="21439"/>
                <wp:lineTo x="21466" y="21439"/>
                <wp:lineTo x="21466" y="0"/>
                <wp:lineTo x="0" y="0"/>
              </wp:wrapPolygon>
            </wp:wrapTight>
            <wp:docPr id="3" name="图片 3" descr="09ffb51db02b44361650834e979d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9ffb51db02b44361650834e979d9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528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170180</wp:posOffset>
            </wp:positionV>
            <wp:extent cx="2898775" cy="1722755"/>
            <wp:effectExtent l="0" t="0" r="15875" b="10795"/>
            <wp:wrapSquare wrapText="bothSides"/>
            <wp:docPr id="9" name="图片 9" descr="ec78144880cd369f2e171e50e75af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c78144880cd369f2e171e50e75af0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活动现场，工作人员通过宣传疟疾的危害、传播途径、疟疾诊断、治疗及有关政策，引导群众对疟疾防治工作的正确认识，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提高边境百姓及游客、外出务工者对疟疾的认识，增强及时就诊、配合治疗的意识，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提高广大群众的自我防护意识。同时增强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卫生院</w:t>
      </w:r>
      <w:r>
        <w:rPr>
          <w:rFonts w:hint="eastAsia" w:ascii="仿宋_GB2312" w:hAnsi="仿宋_GB2312" w:eastAsia="仿宋_GB2312" w:cs="仿宋_GB2312"/>
          <w:sz w:val="32"/>
          <w:szCs w:val="32"/>
        </w:rPr>
        <w:t>早期发现、诊断和及时有效治疗输入性疟疾病例的能力，多措并举、减少和降低疟疾输入后再传播的风险。宣传活动发放宣传资料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1000</w:t>
      </w:r>
      <w:r>
        <w:rPr>
          <w:rFonts w:hint="eastAsia" w:ascii="仿宋_GB2312" w:hAnsi="仿宋_GB2312" w:eastAsia="仿宋_GB2312" w:cs="仿宋_GB2312"/>
          <w:sz w:val="32"/>
          <w:szCs w:val="32"/>
        </w:rPr>
        <w:t>余份，展出展板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块，咨询群众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</w:t>
      </w:r>
      <w:r>
        <w:rPr>
          <w:rFonts w:hint="eastAsia" w:ascii="仿宋_GB2312" w:hAnsi="仿宋_GB2312" w:eastAsia="仿宋_GB2312" w:cs="仿宋_GB2312"/>
          <w:sz w:val="32"/>
          <w:szCs w:val="32"/>
        </w:rPr>
        <w:t>余人，接受教育人数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sz w:val="32"/>
          <w:szCs w:val="32"/>
        </w:rPr>
        <w:t>余人次。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D57D9"/>
    <w:rsid w:val="33B30029"/>
    <w:rsid w:val="370D57D9"/>
    <w:rsid w:val="4DF54962"/>
    <w:rsid w:val="55C94A65"/>
    <w:rsid w:val="5F452180"/>
    <w:rsid w:val="629B27DC"/>
    <w:rsid w:val="73386FB1"/>
    <w:rsid w:val="77453A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2019-04-26T00:51:00Z</dcterms:created>
  <dc:creator>Braving</dc:creator>
  <cp:lastModifiedBy>Braving</cp:lastModifiedBy>
  <dcterms:modified xsi:type="dcterms:W3CDTF">2019-04-26T07:21:00Z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